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E300C" w14:textId="77777777" w:rsidR="001F1ECF" w:rsidRDefault="001F1ECF"/>
    <w:tbl>
      <w:tblPr>
        <w:tblW w:w="1046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686"/>
        <w:gridCol w:w="3447"/>
        <w:gridCol w:w="6334"/>
      </w:tblGrid>
      <w:tr w:rsidR="001F1ECF" w:rsidRPr="00C8179D" w14:paraId="7E86AA8A" w14:textId="77777777" w:rsidTr="001F1ECF">
        <w:trPr>
          <w:trHeight w:val="357"/>
          <w:jc w:val="center"/>
        </w:trPr>
        <w:tc>
          <w:tcPr>
            <w:tcW w:w="10467" w:type="dxa"/>
            <w:gridSpan w:val="3"/>
            <w:shd w:val="clear" w:color="auto" w:fill="FFFFFF"/>
            <w:vAlign w:val="center"/>
          </w:tcPr>
          <w:p w14:paraId="23E61CF2" w14:textId="77777777" w:rsidR="001F1ECF" w:rsidRPr="00C8179D" w:rsidRDefault="001F1ECF" w:rsidP="0077534F">
            <w:pPr>
              <w:spacing w:line="240" w:lineRule="auto"/>
              <w:jc w:val="center"/>
              <w:rPr>
                <w:rFonts w:cs="Times New Roman"/>
                <w:b/>
                <w:bCs/>
                <w:szCs w:val="24"/>
                <w:u w:val="single"/>
              </w:rPr>
            </w:pPr>
          </w:p>
          <w:p w14:paraId="4DF1288F" w14:textId="77777777" w:rsidR="001F1ECF" w:rsidRPr="00C8179D" w:rsidRDefault="001F1ECF" w:rsidP="0077534F">
            <w:pPr>
              <w:spacing w:line="240" w:lineRule="auto"/>
              <w:jc w:val="center"/>
              <w:rPr>
                <w:rFonts w:eastAsia="Times New Roman" w:cs="Times New Roman"/>
                <w:b/>
                <w:bCs/>
                <w:color w:val="000000"/>
                <w:szCs w:val="24"/>
                <w:u w:val="single"/>
                <w:lang w:eastAsia="en-GB"/>
              </w:rPr>
            </w:pPr>
            <w:r w:rsidRPr="00C8179D">
              <w:rPr>
                <w:rFonts w:eastAsia="Times New Roman" w:cs="Times New Roman"/>
                <w:b/>
                <w:bCs/>
                <w:color w:val="000000"/>
                <w:szCs w:val="24"/>
                <w:u w:val="single"/>
                <w:lang w:eastAsia="en-GB"/>
              </w:rPr>
              <w:t>LIMITATION PERIODS</w:t>
            </w:r>
          </w:p>
          <w:p w14:paraId="37ADDC14" w14:textId="77777777" w:rsidR="001F1ECF" w:rsidRPr="00C8179D" w:rsidRDefault="001F1ECF" w:rsidP="0077534F">
            <w:pPr>
              <w:spacing w:line="240" w:lineRule="auto"/>
              <w:ind w:left="357"/>
              <w:jc w:val="center"/>
              <w:rPr>
                <w:rFonts w:eastAsia="Calibri" w:cs="Times New Roman"/>
                <w:b/>
                <w:bCs/>
                <w:noProof/>
                <w:szCs w:val="24"/>
                <w:u w:val="single"/>
              </w:rPr>
            </w:pPr>
            <w:bookmarkStart w:id="0" w:name="_Hlk119238462"/>
            <w:r w:rsidRPr="00C8179D">
              <w:rPr>
                <w:rFonts w:eastAsia="Calibri" w:cs="Times New Roman"/>
                <w:b/>
                <w:bCs/>
                <w:noProof/>
                <w:szCs w:val="24"/>
              </w:rPr>
              <w:t>[Exhibit C]</w:t>
            </w:r>
          </w:p>
          <w:bookmarkEnd w:id="0"/>
          <w:p w14:paraId="23E0B4D9" w14:textId="77777777" w:rsidR="001F1ECF" w:rsidRPr="00C8179D" w:rsidRDefault="001F1ECF" w:rsidP="0077534F">
            <w:pPr>
              <w:spacing w:line="240" w:lineRule="auto"/>
              <w15:collapsed/>
              <w:rPr>
                <w:rFonts w:eastAsia="Calibri" w:cs="Times New Roman"/>
                <w:b/>
                <w:bCs/>
                <w:szCs w:val="24"/>
              </w:rPr>
            </w:pPr>
          </w:p>
        </w:tc>
      </w:tr>
      <w:tr w:rsidR="001F1ECF" w:rsidRPr="00C8179D" w14:paraId="19DD8C4E" w14:textId="77777777" w:rsidTr="001F1ECF">
        <w:trPr>
          <w:trHeight w:val="357"/>
          <w:jc w:val="center"/>
        </w:trPr>
        <w:tc>
          <w:tcPr>
            <w:tcW w:w="686" w:type="dxa"/>
            <w:shd w:val="clear" w:color="auto" w:fill="FFFFFF"/>
          </w:tcPr>
          <w:p w14:paraId="0F497BCD"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111F3121"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Class of claim</w:t>
            </w:r>
          </w:p>
        </w:tc>
        <w:tc>
          <w:tcPr>
            <w:tcW w:w="6334" w:type="dxa"/>
            <w:shd w:val="clear" w:color="auto" w:fill="FFFFFF"/>
            <w:vAlign w:val="center"/>
            <w:hideMark/>
          </w:tcPr>
          <w:p w14:paraId="74AC87AA"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Limitation period</w:t>
            </w:r>
          </w:p>
        </w:tc>
      </w:tr>
      <w:tr w:rsidR="001F1ECF" w:rsidRPr="00C8179D" w14:paraId="154B97E7" w14:textId="77777777" w:rsidTr="001F1ECF">
        <w:trPr>
          <w:trHeight w:val="294"/>
          <w:jc w:val="center"/>
        </w:trPr>
        <w:tc>
          <w:tcPr>
            <w:tcW w:w="686" w:type="dxa"/>
            <w:shd w:val="clear" w:color="auto" w:fill="FFFFFF"/>
          </w:tcPr>
          <w:p w14:paraId="635C5670"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686CF92D"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Fraudulent breach of trust</w:t>
            </w:r>
          </w:p>
        </w:tc>
        <w:tc>
          <w:tcPr>
            <w:tcW w:w="6334" w:type="dxa"/>
            <w:shd w:val="clear" w:color="auto" w:fill="FFFFFF"/>
            <w:vAlign w:val="center"/>
            <w:hideMark/>
          </w:tcPr>
          <w:p w14:paraId="37A0222B" w14:textId="77777777" w:rsidR="001F1ECF" w:rsidRPr="00C8179D" w:rsidRDefault="001F1ECF" w:rsidP="0077534F">
            <w:pPr>
              <w:spacing w:line="240" w:lineRule="auto"/>
              <w:ind w:left="170"/>
              <w:rPr>
                <w:rFonts w:cs="Times New Roman"/>
                <w:szCs w:val="24"/>
              </w:rPr>
            </w:pPr>
            <w:r w:rsidRPr="00C8179D">
              <w:rPr>
                <w:rFonts w:cs="Times New Roman"/>
                <w:szCs w:val="24"/>
              </w:rPr>
              <w:t>None (LA 1980, s. 21(1))</w:t>
            </w:r>
          </w:p>
        </w:tc>
      </w:tr>
      <w:tr w:rsidR="001F1ECF" w:rsidRPr="00C8179D" w14:paraId="3CB0983F" w14:textId="77777777" w:rsidTr="001F1ECF">
        <w:trPr>
          <w:trHeight w:val="260"/>
          <w:jc w:val="center"/>
        </w:trPr>
        <w:tc>
          <w:tcPr>
            <w:tcW w:w="686" w:type="dxa"/>
            <w:shd w:val="clear" w:color="auto" w:fill="FFFFFF"/>
          </w:tcPr>
          <w:p w14:paraId="100F28F3"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30A2B650"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Recovery of land</w:t>
            </w:r>
          </w:p>
        </w:tc>
        <w:tc>
          <w:tcPr>
            <w:tcW w:w="6334" w:type="dxa"/>
            <w:shd w:val="clear" w:color="auto" w:fill="FFFFFF"/>
            <w:vAlign w:val="center"/>
            <w:hideMark/>
          </w:tcPr>
          <w:p w14:paraId="6D38F234" w14:textId="77777777" w:rsidR="001F1ECF" w:rsidRPr="00C8179D" w:rsidRDefault="001F1ECF" w:rsidP="0077534F">
            <w:pPr>
              <w:spacing w:line="240" w:lineRule="auto"/>
              <w:ind w:left="170"/>
              <w:rPr>
                <w:rFonts w:cs="Times New Roman"/>
                <w:szCs w:val="24"/>
              </w:rPr>
            </w:pPr>
            <w:r w:rsidRPr="00C8179D">
              <w:rPr>
                <w:rFonts w:cs="Times New Roman"/>
                <w:szCs w:val="24"/>
              </w:rPr>
              <w:t>12 years (LA 1980, s. 15(1))</w:t>
            </w:r>
          </w:p>
        </w:tc>
      </w:tr>
      <w:tr w:rsidR="001F1ECF" w:rsidRPr="00C8179D" w14:paraId="43298AA2" w14:textId="77777777" w:rsidTr="001F1ECF">
        <w:trPr>
          <w:trHeight w:val="249"/>
          <w:jc w:val="center"/>
        </w:trPr>
        <w:tc>
          <w:tcPr>
            <w:tcW w:w="686" w:type="dxa"/>
            <w:shd w:val="clear" w:color="auto" w:fill="FFFFFF"/>
          </w:tcPr>
          <w:p w14:paraId="5DCD7D54"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2F4DF48E"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Recovery of money secured by mortgage</w:t>
            </w:r>
          </w:p>
        </w:tc>
        <w:tc>
          <w:tcPr>
            <w:tcW w:w="6334" w:type="dxa"/>
            <w:shd w:val="clear" w:color="auto" w:fill="FFFFFF"/>
            <w:vAlign w:val="center"/>
            <w:hideMark/>
          </w:tcPr>
          <w:p w14:paraId="5CABBAC9" w14:textId="77777777" w:rsidR="001F1ECF" w:rsidRPr="00C8179D" w:rsidRDefault="001F1ECF" w:rsidP="0077534F">
            <w:pPr>
              <w:spacing w:line="240" w:lineRule="auto"/>
              <w:ind w:left="170"/>
              <w:rPr>
                <w:rFonts w:cs="Times New Roman"/>
                <w:szCs w:val="24"/>
              </w:rPr>
            </w:pPr>
            <w:r w:rsidRPr="00C8179D">
              <w:rPr>
                <w:rFonts w:cs="Times New Roman"/>
                <w:szCs w:val="24"/>
              </w:rPr>
              <w:t>12 years (LA 1980, s. 20(1))</w:t>
            </w:r>
          </w:p>
        </w:tc>
      </w:tr>
      <w:tr w:rsidR="001F1ECF" w:rsidRPr="00C8179D" w14:paraId="01BAAA34" w14:textId="77777777" w:rsidTr="001F1ECF">
        <w:trPr>
          <w:trHeight w:val="249"/>
          <w:jc w:val="center"/>
        </w:trPr>
        <w:tc>
          <w:tcPr>
            <w:tcW w:w="686" w:type="dxa"/>
            <w:shd w:val="clear" w:color="auto" w:fill="FFFFFF"/>
          </w:tcPr>
          <w:p w14:paraId="2BB84BFC"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5847C1EF"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Speciality</w:t>
            </w:r>
          </w:p>
        </w:tc>
        <w:tc>
          <w:tcPr>
            <w:tcW w:w="6334" w:type="dxa"/>
            <w:shd w:val="clear" w:color="auto" w:fill="FFFFFF"/>
            <w:vAlign w:val="center"/>
            <w:hideMark/>
          </w:tcPr>
          <w:p w14:paraId="53E7E14A" w14:textId="77777777" w:rsidR="001F1ECF" w:rsidRPr="00C8179D" w:rsidRDefault="001F1ECF" w:rsidP="0077534F">
            <w:pPr>
              <w:spacing w:line="240" w:lineRule="auto"/>
              <w:ind w:left="170"/>
              <w:rPr>
                <w:rFonts w:cs="Times New Roman"/>
                <w:szCs w:val="24"/>
              </w:rPr>
            </w:pPr>
            <w:r w:rsidRPr="00C8179D">
              <w:rPr>
                <w:rFonts w:cs="Times New Roman"/>
                <w:szCs w:val="24"/>
              </w:rPr>
              <w:t>12 years (LA 1980, s. 8(1))</w:t>
            </w:r>
          </w:p>
        </w:tc>
      </w:tr>
      <w:tr w:rsidR="001F1ECF" w:rsidRPr="00C8179D" w14:paraId="5D2F5FA2" w14:textId="77777777" w:rsidTr="001F1ECF">
        <w:trPr>
          <w:trHeight w:val="246"/>
          <w:jc w:val="center"/>
        </w:trPr>
        <w:tc>
          <w:tcPr>
            <w:tcW w:w="686" w:type="dxa"/>
            <w:shd w:val="clear" w:color="auto" w:fill="FFFFFF"/>
          </w:tcPr>
          <w:p w14:paraId="712049F4"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7EC21744"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Recovery of money due under statute</w:t>
            </w:r>
          </w:p>
        </w:tc>
        <w:tc>
          <w:tcPr>
            <w:tcW w:w="6334" w:type="dxa"/>
            <w:shd w:val="clear" w:color="auto" w:fill="FFFFFF"/>
            <w:vAlign w:val="center"/>
            <w:hideMark/>
          </w:tcPr>
          <w:p w14:paraId="770385C2" w14:textId="77777777" w:rsidR="001F1ECF" w:rsidRPr="00C8179D" w:rsidRDefault="001F1ECF" w:rsidP="0077534F">
            <w:pPr>
              <w:spacing w:line="240" w:lineRule="auto"/>
              <w:ind w:left="170"/>
              <w:rPr>
                <w:rFonts w:cs="Times New Roman"/>
                <w:szCs w:val="24"/>
              </w:rPr>
            </w:pPr>
            <w:r w:rsidRPr="00C8179D">
              <w:rPr>
                <w:rFonts w:cs="Times New Roman"/>
                <w:szCs w:val="24"/>
              </w:rPr>
              <w:t>6 years (LA 1980, s. 9(1))</w:t>
            </w:r>
          </w:p>
        </w:tc>
      </w:tr>
      <w:tr w:rsidR="001F1ECF" w:rsidRPr="00C8179D" w14:paraId="7F3E941A" w14:textId="77777777" w:rsidTr="001F1ECF">
        <w:trPr>
          <w:trHeight w:val="242"/>
          <w:jc w:val="center"/>
        </w:trPr>
        <w:tc>
          <w:tcPr>
            <w:tcW w:w="686" w:type="dxa"/>
            <w:shd w:val="clear" w:color="auto" w:fill="FFFFFF"/>
          </w:tcPr>
          <w:p w14:paraId="7D74A2F0"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7E9BD043"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Enforcement of a judgment</w:t>
            </w:r>
          </w:p>
        </w:tc>
        <w:tc>
          <w:tcPr>
            <w:tcW w:w="6334" w:type="dxa"/>
            <w:shd w:val="clear" w:color="auto" w:fill="FFFFFF"/>
            <w:vAlign w:val="center"/>
            <w:hideMark/>
          </w:tcPr>
          <w:p w14:paraId="3A919CF1" w14:textId="77777777" w:rsidR="001F1ECF" w:rsidRPr="00C8179D" w:rsidRDefault="001F1ECF" w:rsidP="0077534F">
            <w:pPr>
              <w:spacing w:line="240" w:lineRule="auto"/>
              <w:ind w:left="170"/>
              <w:rPr>
                <w:rFonts w:cs="Times New Roman"/>
                <w:szCs w:val="24"/>
              </w:rPr>
            </w:pPr>
            <w:r w:rsidRPr="00C8179D">
              <w:rPr>
                <w:rFonts w:cs="Times New Roman"/>
                <w:szCs w:val="24"/>
              </w:rPr>
              <w:t>6 years (LA 1980, s. 24(1))</w:t>
            </w:r>
          </w:p>
        </w:tc>
      </w:tr>
      <w:tr w:rsidR="001F1ECF" w:rsidRPr="00C8179D" w14:paraId="491623FF" w14:textId="77777777" w:rsidTr="001F1ECF">
        <w:trPr>
          <w:trHeight w:val="246"/>
          <w:jc w:val="center"/>
        </w:trPr>
        <w:tc>
          <w:tcPr>
            <w:tcW w:w="686" w:type="dxa"/>
            <w:shd w:val="clear" w:color="auto" w:fill="FFFFFF"/>
          </w:tcPr>
          <w:p w14:paraId="1EC49F63"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782348D7"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Contract</w:t>
            </w:r>
          </w:p>
        </w:tc>
        <w:tc>
          <w:tcPr>
            <w:tcW w:w="6334" w:type="dxa"/>
            <w:shd w:val="clear" w:color="auto" w:fill="FFFFFF"/>
            <w:vAlign w:val="center"/>
            <w:hideMark/>
          </w:tcPr>
          <w:p w14:paraId="7CAE62ED" w14:textId="77777777" w:rsidR="001F1ECF" w:rsidRPr="00C8179D" w:rsidRDefault="001F1ECF" w:rsidP="0077534F">
            <w:pPr>
              <w:spacing w:line="240" w:lineRule="auto"/>
              <w:ind w:left="170"/>
              <w:rPr>
                <w:rFonts w:cs="Times New Roman"/>
                <w:szCs w:val="24"/>
              </w:rPr>
            </w:pPr>
            <w:r w:rsidRPr="00C8179D">
              <w:rPr>
                <w:rFonts w:cs="Times New Roman"/>
                <w:szCs w:val="24"/>
              </w:rPr>
              <w:t>6 years (LA 1980, s. 5)</w:t>
            </w:r>
          </w:p>
        </w:tc>
      </w:tr>
      <w:tr w:rsidR="001F1ECF" w:rsidRPr="00C8179D" w14:paraId="54C6068C" w14:textId="77777777" w:rsidTr="001F1ECF">
        <w:trPr>
          <w:trHeight w:val="253"/>
          <w:jc w:val="center"/>
        </w:trPr>
        <w:tc>
          <w:tcPr>
            <w:tcW w:w="686" w:type="dxa"/>
            <w:shd w:val="clear" w:color="auto" w:fill="FFFFFF"/>
          </w:tcPr>
          <w:p w14:paraId="716FB7E3"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65EE7FE4"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Recovery of trust property and breach of trust</w:t>
            </w:r>
          </w:p>
        </w:tc>
        <w:tc>
          <w:tcPr>
            <w:tcW w:w="6334" w:type="dxa"/>
            <w:shd w:val="clear" w:color="auto" w:fill="FFFFFF"/>
            <w:vAlign w:val="center"/>
            <w:hideMark/>
          </w:tcPr>
          <w:p w14:paraId="09AD348F" w14:textId="77777777" w:rsidR="001F1ECF" w:rsidRPr="00C8179D" w:rsidRDefault="001F1ECF" w:rsidP="0077534F">
            <w:pPr>
              <w:spacing w:line="240" w:lineRule="auto"/>
              <w:ind w:left="170"/>
              <w:rPr>
                <w:rFonts w:cs="Times New Roman"/>
                <w:szCs w:val="24"/>
              </w:rPr>
            </w:pPr>
            <w:r w:rsidRPr="00C8179D">
              <w:rPr>
                <w:rFonts w:cs="Times New Roman"/>
                <w:szCs w:val="24"/>
              </w:rPr>
              <w:t>6 years (LA 1980, s. 21(3))</w:t>
            </w:r>
          </w:p>
        </w:tc>
      </w:tr>
      <w:tr w:rsidR="001F1ECF" w:rsidRPr="00C8179D" w14:paraId="01BA363A" w14:textId="77777777" w:rsidTr="001F1ECF">
        <w:trPr>
          <w:trHeight w:val="246"/>
          <w:jc w:val="center"/>
        </w:trPr>
        <w:tc>
          <w:tcPr>
            <w:tcW w:w="686" w:type="dxa"/>
            <w:shd w:val="clear" w:color="auto" w:fill="FFFFFF"/>
          </w:tcPr>
          <w:p w14:paraId="4BF61654"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3AC37CD1"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Recovery of arrears of rent</w:t>
            </w:r>
          </w:p>
        </w:tc>
        <w:tc>
          <w:tcPr>
            <w:tcW w:w="6334" w:type="dxa"/>
            <w:shd w:val="clear" w:color="auto" w:fill="FFFFFF"/>
            <w:vAlign w:val="center"/>
            <w:hideMark/>
          </w:tcPr>
          <w:p w14:paraId="789831C4" w14:textId="77777777" w:rsidR="001F1ECF" w:rsidRPr="00C8179D" w:rsidRDefault="001F1ECF" w:rsidP="0077534F">
            <w:pPr>
              <w:spacing w:line="240" w:lineRule="auto"/>
              <w:ind w:left="170"/>
              <w:rPr>
                <w:rFonts w:cs="Times New Roman"/>
                <w:szCs w:val="24"/>
              </w:rPr>
            </w:pPr>
            <w:r w:rsidRPr="00C8179D">
              <w:rPr>
                <w:rFonts w:cs="Times New Roman"/>
                <w:szCs w:val="24"/>
              </w:rPr>
              <w:t>6 years (LA 1980, s. 19)</w:t>
            </w:r>
          </w:p>
        </w:tc>
      </w:tr>
      <w:tr w:rsidR="001F1ECF" w:rsidRPr="00C8179D" w14:paraId="6089B5A5" w14:textId="77777777" w:rsidTr="001F1ECF">
        <w:trPr>
          <w:trHeight w:val="249"/>
          <w:jc w:val="center"/>
        </w:trPr>
        <w:tc>
          <w:tcPr>
            <w:tcW w:w="686" w:type="dxa"/>
            <w:shd w:val="clear" w:color="auto" w:fill="FFFFFF"/>
          </w:tcPr>
          <w:p w14:paraId="5FBEF2A9"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3B7021F4"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 xml:space="preserve">Tort (except those listed below) Note: </w:t>
            </w:r>
            <w:r w:rsidRPr="00C8179D">
              <w:rPr>
                <w:rFonts w:eastAsia="Calibri" w:cs="Times New Roman"/>
                <w:szCs w:val="24"/>
              </w:rPr>
              <w:t>This includes claims under s. 2(1) of the Misrepresentation Act 1967</w:t>
            </w:r>
          </w:p>
        </w:tc>
        <w:tc>
          <w:tcPr>
            <w:tcW w:w="6334" w:type="dxa"/>
            <w:shd w:val="clear" w:color="auto" w:fill="FFFFFF"/>
            <w:vAlign w:val="center"/>
            <w:hideMark/>
          </w:tcPr>
          <w:p w14:paraId="57D34EFA" w14:textId="77777777" w:rsidR="001F1ECF" w:rsidRPr="00C8179D" w:rsidRDefault="001F1ECF" w:rsidP="0077534F">
            <w:pPr>
              <w:spacing w:line="240" w:lineRule="auto"/>
              <w:ind w:left="170"/>
              <w:rPr>
                <w:rFonts w:cs="Times New Roman"/>
                <w:szCs w:val="24"/>
              </w:rPr>
            </w:pPr>
            <w:r w:rsidRPr="00C8179D">
              <w:rPr>
                <w:rFonts w:cs="Times New Roman"/>
                <w:szCs w:val="24"/>
              </w:rPr>
              <w:t>6years (LA 1980, s. 2)</w:t>
            </w:r>
          </w:p>
        </w:tc>
      </w:tr>
      <w:tr w:rsidR="001F1ECF" w:rsidRPr="00C8179D" w14:paraId="020B9F79" w14:textId="77777777" w:rsidTr="001F1ECF">
        <w:trPr>
          <w:trHeight w:val="242"/>
          <w:jc w:val="center"/>
        </w:trPr>
        <w:tc>
          <w:tcPr>
            <w:tcW w:w="686" w:type="dxa"/>
            <w:shd w:val="clear" w:color="auto" w:fill="FFFFFF"/>
          </w:tcPr>
          <w:p w14:paraId="1E0A5934"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0E0CE6B4"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Defective Premises Ad 1972 (DPA 1972) claims</w:t>
            </w:r>
          </w:p>
        </w:tc>
        <w:tc>
          <w:tcPr>
            <w:tcW w:w="6334" w:type="dxa"/>
            <w:shd w:val="clear" w:color="auto" w:fill="FFFFFF"/>
            <w:vAlign w:val="center"/>
            <w:hideMark/>
          </w:tcPr>
          <w:p w14:paraId="1FFB2D75" w14:textId="77777777" w:rsidR="001F1ECF" w:rsidRPr="00C8179D" w:rsidRDefault="001F1ECF" w:rsidP="0077534F">
            <w:pPr>
              <w:spacing w:line="240" w:lineRule="auto"/>
              <w:ind w:left="170"/>
              <w:rPr>
                <w:rFonts w:cs="Times New Roman"/>
                <w:szCs w:val="24"/>
              </w:rPr>
            </w:pPr>
            <w:r w:rsidRPr="00C8179D">
              <w:rPr>
                <w:rFonts w:cs="Times New Roman"/>
                <w:szCs w:val="24"/>
              </w:rPr>
              <w:t>6 years (DPA 1972, s. 1(B))</w:t>
            </w:r>
          </w:p>
        </w:tc>
      </w:tr>
      <w:tr w:rsidR="001F1ECF" w:rsidRPr="00C8179D" w14:paraId="3D022C93" w14:textId="77777777" w:rsidTr="001F1ECF">
        <w:trPr>
          <w:trHeight w:val="253"/>
          <w:jc w:val="center"/>
        </w:trPr>
        <w:tc>
          <w:tcPr>
            <w:tcW w:w="686" w:type="dxa"/>
            <w:shd w:val="clear" w:color="auto" w:fill="FFFFFF"/>
          </w:tcPr>
          <w:p w14:paraId="12F1A0C1"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5AB0BDA4"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Personal injury claims</w:t>
            </w:r>
          </w:p>
        </w:tc>
        <w:tc>
          <w:tcPr>
            <w:tcW w:w="6334" w:type="dxa"/>
            <w:shd w:val="clear" w:color="auto" w:fill="FFFFFF"/>
            <w:vAlign w:val="center"/>
            <w:hideMark/>
          </w:tcPr>
          <w:p w14:paraId="49682FE4" w14:textId="77777777" w:rsidR="001F1ECF" w:rsidRPr="00C8179D" w:rsidRDefault="001F1ECF" w:rsidP="0077534F">
            <w:pPr>
              <w:spacing w:line="240" w:lineRule="auto"/>
              <w:ind w:left="170"/>
              <w:rPr>
                <w:rFonts w:cs="Times New Roman"/>
                <w:szCs w:val="24"/>
              </w:rPr>
            </w:pPr>
            <w:r w:rsidRPr="00C8179D">
              <w:rPr>
                <w:rFonts w:cs="Times New Roman"/>
                <w:szCs w:val="24"/>
              </w:rPr>
              <w:t>3 years (LA 1980, s. 11(4))</w:t>
            </w:r>
          </w:p>
        </w:tc>
      </w:tr>
      <w:tr w:rsidR="001F1ECF" w:rsidRPr="00C8179D" w14:paraId="52BA2654" w14:textId="77777777" w:rsidTr="001F1ECF">
        <w:trPr>
          <w:trHeight w:val="242"/>
          <w:jc w:val="center"/>
        </w:trPr>
        <w:tc>
          <w:tcPr>
            <w:tcW w:w="686" w:type="dxa"/>
            <w:shd w:val="clear" w:color="auto" w:fill="FFFFFF"/>
          </w:tcPr>
          <w:p w14:paraId="1774C8B7"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7644C8A1"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Fatal Accident Act 1976 claims</w:t>
            </w:r>
          </w:p>
        </w:tc>
        <w:tc>
          <w:tcPr>
            <w:tcW w:w="6334" w:type="dxa"/>
            <w:shd w:val="clear" w:color="auto" w:fill="FFFFFF"/>
            <w:vAlign w:val="center"/>
            <w:hideMark/>
          </w:tcPr>
          <w:p w14:paraId="47D1B283" w14:textId="77777777" w:rsidR="001F1ECF" w:rsidRPr="00C8179D" w:rsidRDefault="001F1ECF" w:rsidP="0077534F">
            <w:pPr>
              <w:spacing w:line="240" w:lineRule="auto"/>
              <w:ind w:left="170"/>
              <w:rPr>
                <w:rFonts w:cs="Times New Roman"/>
                <w:szCs w:val="24"/>
              </w:rPr>
            </w:pPr>
            <w:r w:rsidRPr="00C8179D">
              <w:rPr>
                <w:rFonts w:cs="Times New Roman"/>
                <w:szCs w:val="24"/>
              </w:rPr>
              <w:t>3 years (LA 1980, s. 12(2)}</w:t>
            </w:r>
          </w:p>
        </w:tc>
      </w:tr>
      <w:tr w:rsidR="001F1ECF" w:rsidRPr="00C8179D" w14:paraId="13A637EF" w14:textId="77777777" w:rsidTr="001F1ECF">
        <w:trPr>
          <w:trHeight w:val="246"/>
          <w:jc w:val="center"/>
        </w:trPr>
        <w:tc>
          <w:tcPr>
            <w:tcW w:w="686" w:type="dxa"/>
            <w:shd w:val="clear" w:color="auto" w:fill="FFFFFF"/>
          </w:tcPr>
          <w:p w14:paraId="4A5D3D15"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75FD1CED"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Claims under the Consumer Protection Act 1987</w:t>
            </w:r>
          </w:p>
        </w:tc>
        <w:tc>
          <w:tcPr>
            <w:tcW w:w="6334" w:type="dxa"/>
            <w:shd w:val="clear" w:color="auto" w:fill="FFFFFF"/>
            <w:vAlign w:val="center"/>
            <w:hideMark/>
          </w:tcPr>
          <w:p w14:paraId="0A4BA92F" w14:textId="77777777" w:rsidR="001F1ECF" w:rsidRPr="00C8179D" w:rsidRDefault="001F1ECF" w:rsidP="0077534F">
            <w:pPr>
              <w:spacing w:line="240" w:lineRule="auto"/>
              <w:ind w:left="170"/>
              <w:rPr>
                <w:rFonts w:cs="Times New Roman"/>
                <w:szCs w:val="24"/>
              </w:rPr>
            </w:pPr>
            <w:r w:rsidRPr="00C8179D">
              <w:rPr>
                <w:rFonts w:cs="Times New Roman"/>
                <w:szCs w:val="24"/>
              </w:rPr>
              <w:t>3 years (LA 1980, s. 11 A)</w:t>
            </w:r>
          </w:p>
        </w:tc>
      </w:tr>
      <w:tr w:rsidR="001F1ECF" w:rsidRPr="00C8179D" w14:paraId="7E49E42D" w14:textId="77777777" w:rsidTr="001F1ECF">
        <w:trPr>
          <w:trHeight w:val="256"/>
          <w:jc w:val="center"/>
        </w:trPr>
        <w:tc>
          <w:tcPr>
            <w:tcW w:w="686" w:type="dxa"/>
            <w:shd w:val="clear" w:color="auto" w:fill="FFFFFF"/>
          </w:tcPr>
          <w:p w14:paraId="6ABC86B7"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5D8911D7"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Carriage by Air Act 1961 (CAA 1961) claims</w:t>
            </w:r>
          </w:p>
        </w:tc>
        <w:tc>
          <w:tcPr>
            <w:tcW w:w="6334" w:type="dxa"/>
            <w:shd w:val="clear" w:color="auto" w:fill="FFFFFF"/>
            <w:vAlign w:val="center"/>
            <w:hideMark/>
          </w:tcPr>
          <w:p w14:paraId="6E7E4C81" w14:textId="77777777" w:rsidR="001F1ECF" w:rsidRPr="00C8179D" w:rsidRDefault="001F1ECF" w:rsidP="0077534F">
            <w:pPr>
              <w:spacing w:line="240" w:lineRule="auto"/>
              <w:ind w:left="170"/>
              <w:rPr>
                <w:rFonts w:cs="Times New Roman"/>
                <w:szCs w:val="24"/>
              </w:rPr>
            </w:pPr>
            <w:r w:rsidRPr="00C8179D">
              <w:rPr>
                <w:rFonts w:cs="Times New Roman"/>
                <w:szCs w:val="24"/>
              </w:rPr>
              <w:t>2 years (CAA 1961, Sched. 1)</w:t>
            </w:r>
          </w:p>
        </w:tc>
      </w:tr>
      <w:tr w:rsidR="001F1ECF" w:rsidRPr="00C8179D" w14:paraId="3AD4DB13" w14:textId="77777777" w:rsidTr="001F1ECF">
        <w:trPr>
          <w:trHeight w:val="256"/>
          <w:jc w:val="center"/>
        </w:trPr>
        <w:tc>
          <w:tcPr>
            <w:tcW w:w="686" w:type="dxa"/>
            <w:shd w:val="clear" w:color="auto" w:fill="FFFFFF"/>
          </w:tcPr>
          <w:p w14:paraId="73C3812A"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2E3F1AF9"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Claims for personal injury or damage to vessel, cargo, or</w:t>
            </w:r>
          </w:p>
        </w:tc>
        <w:tc>
          <w:tcPr>
            <w:tcW w:w="6334" w:type="dxa"/>
            <w:shd w:val="clear" w:color="auto" w:fill="FFFFFF"/>
            <w:vAlign w:val="center"/>
            <w:hideMark/>
          </w:tcPr>
          <w:p w14:paraId="45FA9FE4" w14:textId="77777777" w:rsidR="001F1ECF" w:rsidRPr="00C8179D" w:rsidRDefault="001F1ECF" w:rsidP="0077534F">
            <w:pPr>
              <w:spacing w:line="240" w:lineRule="auto"/>
              <w:ind w:left="170"/>
              <w:rPr>
                <w:rFonts w:cs="Times New Roman"/>
                <w:szCs w:val="24"/>
              </w:rPr>
            </w:pPr>
            <w:r w:rsidRPr="00C8179D">
              <w:rPr>
                <w:rFonts w:cs="Times New Roman"/>
                <w:szCs w:val="24"/>
              </w:rPr>
              <w:t>2 years (Merchant Shipping Act 1995, s. 190(3) and</w:t>
            </w:r>
          </w:p>
        </w:tc>
      </w:tr>
      <w:tr w:rsidR="001F1ECF" w:rsidRPr="00C8179D" w14:paraId="4BFB02F3" w14:textId="77777777" w:rsidTr="001F1ECF">
        <w:trPr>
          <w:trHeight w:val="253"/>
          <w:jc w:val="center"/>
        </w:trPr>
        <w:tc>
          <w:tcPr>
            <w:tcW w:w="686" w:type="dxa"/>
            <w:shd w:val="clear" w:color="auto" w:fill="FFFFFF"/>
          </w:tcPr>
          <w:p w14:paraId="12E53B4D"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7F20B2D0"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property at sea</w:t>
            </w:r>
          </w:p>
        </w:tc>
        <w:tc>
          <w:tcPr>
            <w:tcW w:w="6334" w:type="dxa"/>
            <w:shd w:val="clear" w:color="auto" w:fill="FFFFFF"/>
            <w:vAlign w:val="center"/>
            <w:hideMark/>
          </w:tcPr>
          <w:p w14:paraId="2478DE75" w14:textId="77777777" w:rsidR="001F1ECF" w:rsidRPr="00C8179D" w:rsidRDefault="001F1ECF" w:rsidP="0077534F">
            <w:pPr>
              <w:spacing w:line="240" w:lineRule="auto"/>
              <w:ind w:left="170"/>
              <w:rPr>
                <w:rFonts w:cs="Times New Roman"/>
                <w:szCs w:val="24"/>
              </w:rPr>
            </w:pPr>
            <w:r w:rsidRPr="00C8179D">
              <w:rPr>
                <w:rFonts w:cs="Times New Roman"/>
                <w:szCs w:val="24"/>
              </w:rPr>
              <w:t>Sched. 6)</w:t>
            </w:r>
          </w:p>
        </w:tc>
      </w:tr>
      <w:tr w:rsidR="001F1ECF" w:rsidRPr="00C8179D" w14:paraId="4267D3D8" w14:textId="77777777" w:rsidTr="001F1ECF">
        <w:trPr>
          <w:trHeight w:val="499"/>
          <w:jc w:val="center"/>
        </w:trPr>
        <w:tc>
          <w:tcPr>
            <w:tcW w:w="686" w:type="dxa"/>
            <w:shd w:val="clear" w:color="auto" w:fill="FFFFFF"/>
          </w:tcPr>
          <w:p w14:paraId="77ACF2F3"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40F149D7"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Disqualification of company directors</w:t>
            </w:r>
          </w:p>
        </w:tc>
        <w:tc>
          <w:tcPr>
            <w:tcW w:w="6334" w:type="dxa"/>
            <w:shd w:val="clear" w:color="auto" w:fill="FFFFFF"/>
            <w:vAlign w:val="center"/>
            <w:hideMark/>
          </w:tcPr>
          <w:p w14:paraId="03AA96CC" w14:textId="77777777" w:rsidR="001F1ECF" w:rsidRPr="00C8179D" w:rsidRDefault="001F1ECF" w:rsidP="0077534F">
            <w:pPr>
              <w:spacing w:line="240" w:lineRule="auto"/>
              <w:ind w:left="170"/>
              <w:rPr>
                <w:rFonts w:cs="Times New Roman"/>
                <w:szCs w:val="24"/>
              </w:rPr>
            </w:pPr>
            <w:r w:rsidRPr="00C8179D">
              <w:rPr>
                <w:rFonts w:cs="Times New Roman"/>
                <w:szCs w:val="24"/>
              </w:rPr>
              <w:t>2 years (Company Directors Disqualification Act 1986, s. 7(2)}</w:t>
            </w:r>
          </w:p>
        </w:tc>
      </w:tr>
      <w:tr w:rsidR="001F1ECF" w:rsidRPr="00C8179D" w14:paraId="02D2E53C" w14:textId="77777777" w:rsidTr="001F1ECF">
        <w:trPr>
          <w:trHeight w:val="496"/>
          <w:jc w:val="center"/>
        </w:trPr>
        <w:tc>
          <w:tcPr>
            <w:tcW w:w="686" w:type="dxa"/>
            <w:shd w:val="clear" w:color="auto" w:fill="FFFFFF"/>
          </w:tcPr>
          <w:p w14:paraId="2436E71A"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694C9DEB"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Contribution under the Civil Liability (Contribution) Act 1978</w:t>
            </w:r>
          </w:p>
        </w:tc>
        <w:tc>
          <w:tcPr>
            <w:tcW w:w="6334" w:type="dxa"/>
            <w:shd w:val="clear" w:color="auto" w:fill="FFFFFF"/>
            <w:vAlign w:val="center"/>
            <w:hideMark/>
          </w:tcPr>
          <w:p w14:paraId="3B533988" w14:textId="77777777" w:rsidR="001F1ECF" w:rsidRPr="00C8179D" w:rsidRDefault="001F1ECF" w:rsidP="0077534F">
            <w:pPr>
              <w:spacing w:line="240" w:lineRule="auto"/>
              <w:ind w:left="170"/>
              <w:rPr>
                <w:rFonts w:cs="Times New Roman"/>
                <w:szCs w:val="24"/>
              </w:rPr>
            </w:pPr>
            <w:r w:rsidRPr="00C8179D">
              <w:rPr>
                <w:rFonts w:cs="Times New Roman"/>
                <w:szCs w:val="24"/>
              </w:rPr>
              <w:t>2 years (LA 1980, s. 10(1)}</w:t>
            </w:r>
          </w:p>
        </w:tc>
      </w:tr>
      <w:tr w:rsidR="001F1ECF" w:rsidRPr="00C8179D" w14:paraId="11AD7822" w14:textId="77777777" w:rsidTr="001F1ECF">
        <w:trPr>
          <w:trHeight w:val="256"/>
          <w:jc w:val="center"/>
        </w:trPr>
        <w:tc>
          <w:tcPr>
            <w:tcW w:w="686" w:type="dxa"/>
            <w:shd w:val="clear" w:color="auto" w:fill="FFFFFF"/>
          </w:tcPr>
          <w:p w14:paraId="6FB0E591"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7063E369"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Contributions under the Maritime Conventions Act 1911</w:t>
            </w:r>
          </w:p>
        </w:tc>
        <w:tc>
          <w:tcPr>
            <w:tcW w:w="6334" w:type="dxa"/>
            <w:shd w:val="clear" w:color="auto" w:fill="FFFFFF"/>
            <w:vAlign w:val="center"/>
            <w:hideMark/>
          </w:tcPr>
          <w:p w14:paraId="43182E1A" w14:textId="77777777" w:rsidR="001F1ECF" w:rsidRPr="00C8179D" w:rsidRDefault="001F1ECF" w:rsidP="0077534F">
            <w:pPr>
              <w:spacing w:line="240" w:lineRule="auto"/>
              <w:ind w:left="170"/>
              <w:rPr>
                <w:rFonts w:cs="Times New Roman"/>
                <w:szCs w:val="24"/>
              </w:rPr>
            </w:pPr>
            <w:r w:rsidRPr="00C8179D">
              <w:rPr>
                <w:rFonts w:cs="Times New Roman"/>
                <w:szCs w:val="24"/>
              </w:rPr>
              <w:t>1 year (Merchant Shipping Act 1995, s. 190(4))</w:t>
            </w:r>
          </w:p>
        </w:tc>
      </w:tr>
      <w:tr w:rsidR="001F1ECF" w:rsidRPr="00C8179D" w14:paraId="7AA16650" w14:textId="77777777" w:rsidTr="001F1ECF">
        <w:trPr>
          <w:trHeight w:val="256"/>
          <w:jc w:val="center"/>
        </w:trPr>
        <w:tc>
          <w:tcPr>
            <w:tcW w:w="686" w:type="dxa"/>
            <w:shd w:val="clear" w:color="auto" w:fill="FFFFFF"/>
          </w:tcPr>
          <w:p w14:paraId="46E67E47"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1387400A"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Carriage of Goods by Road Act 1965 (CGRA 1965)</w:t>
            </w:r>
          </w:p>
        </w:tc>
        <w:tc>
          <w:tcPr>
            <w:tcW w:w="6334" w:type="dxa"/>
            <w:shd w:val="clear" w:color="auto" w:fill="FFFFFF"/>
            <w:vAlign w:val="center"/>
            <w:hideMark/>
          </w:tcPr>
          <w:p w14:paraId="46B075BB" w14:textId="77777777" w:rsidR="001F1ECF" w:rsidRPr="00C8179D" w:rsidRDefault="001F1ECF" w:rsidP="0077534F">
            <w:pPr>
              <w:spacing w:line="240" w:lineRule="auto"/>
              <w:ind w:left="170"/>
              <w:rPr>
                <w:rFonts w:cs="Times New Roman"/>
                <w:szCs w:val="24"/>
              </w:rPr>
            </w:pPr>
            <w:r w:rsidRPr="00C8179D">
              <w:rPr>
                <w:rFonts w:cs="Times New Roman"/>
                <w:szCs w:val="24"/>
              </w:rPr>
              <w:t>claims 1 year (CGRA 1965, Art. 32(1))</w:t>
            </w:r>
          </w:p>
        </w:tc>
      </w:tr>
      <w:tr w:rsidR="001F1ECF" w:rsidRPr="00C8179D" w14:paraId="22423BA7" w14:textId="77777777" w:rsidTr="001F1ECF">
        <w:trPr>
          <w:trHeight w:val="246"/>
          <w:jc w:val="center"/>
        </w:trPr>
        <w:tc>
          <w:tcPr>
            <w:tcW w:w="686" w:type="dxa"/>
            <w:shd w:val="clear" w:color="auto" w:fill="FFFFFF"/>
          </w:tcPr>
          <w:p w14:paraId="1CDF1409"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3510523F"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Defamation and malicious falsehood</w:t>
            </w:r>
          </w:p>
        </w:tc>
        <w:tc>
          <w:tcPr>
            <w:tcW w:w="6334" w:type="dxa"/>
            <w:shd w:val="clear" w:color="auto" w:fill="FFFFFF"/>
            <w:vAlign w:val="center"/>
            <w:hideMark/>
          </w:tcPr>
          <w:p w14:paraId="4E2FFE79" w14:textId="77777777" w:rsidR="001F1ECF" w:rsidRPr="00C8179D" w:rsidRDefault="001F1ECF" w:rsidP="0077534F">
            <w:pPr>
              <w:spacing w:line="240" w:lineRule="auto"/>
              <w:ind w:left="170"/>
              <w:rPr>
                <w:rFonts w:cs="Times New Roman"/>
                <w:szCs w:val="24"/>
              </w:rPr>
            </w:pPr>
            <w:r w:rsidRPr="00C8179D">
              <w:rPr>
                <w:rFonts w:cs="Times New Roman"/>
                <w:szCs w:val="24"/>
              </w:rPr>
              <w:t>1 year (LA 1980, s.4A)</w:t>
            </w:r>
          </w:p>
        </w:tc>
      </w:tr>
      <w:tr w:rsidR="001F1ECF" w:rsidRPr="00C8179D" w14:paraId="60E01DFC" w14:textId="77777777" w:rsidTr="001F1ECF">
        <w:trPr>
          <w:trHeight w:val="253"/>
          <w:jc w:val="center"/>
        </w:trPr>
        <w:tc>
          <w:tcPr>
            <w:tcW w:w="686" w:type="dxa"/>
            <w:shd w:val="clear" w:color="auto" w:fill="FFFFFF"/>
          </w:tcPr>
          <w:p w14:paraId="61F74B62"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6713E702"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Applications for judicial review</w:t>
            </w:r>
          </w:p>
        </w:tc>
        <w:tc>
          <w:tcPr>
            <w:tcW w:w="6334" w:type="dxa"/>
            <w:shd w:val="clear" w:color="auto" w:fill="FFFFFF"/>
            <w:vAlign w:val="center"/>
            <w:hideMark/>
          </w:tcPr>
          <w:p w14:paraId="019233F6" w14:textId="77777777" w:rsidR="001F1ECF" w:rsidRPr="00C8179D" w:rsidRDefault="001F1ECF" w:rsidP="0077534F">
            <w:pPr>
              <w:spacing w:line="240" w:lineRule="auto"/>
              <w:ind w:left="170"/>
              <w:rPr>
                <w:rFonts w:cs="Times New Roman"/>
                <w:szCs w:val="24"/>
              </w:rPr>
            </w:pPr>
            <w:r w:rsidRPr="00C8179D">
              <w:rPr>
                <w:rFonts w:cs="Times New Roman"/>
                <w:szCs w:val="24"/>
              </w:rPr>
              <w:t>3 months (CPR54.5)</w:t>
            </w:r>
          </w:p>
        </w:tc>
      </w:tr>
      <w:tr w:rsidR="001F1ECF" w:rsidRPr="00C8179D" w14:paraId="0F79F393" w14:textId="77777777" w:rsidTr="001F1ECF">
        <w:trPr>
          <w:trHeight w:val="499"/>
          <w:jc w:val="center"/>
        </w:trPr>
        <w:tc>
          <w:tcPr>
            <w:tcW w:w="686" w:type="dxa"/>
            <w:shd w:val="clear" w:color="auto" w:fill="FFFFFF"/>
          </w:tcPr>
          <w:p w14:paraId="10EB408A"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2C17B3F8"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Unfair dismissal under the Employment Rights Act 1996 (ERA 1996)</w:t>
            </w:r>
          </w:p>
        </w:tc>
        <w:tc>
          <w:tcPr>
            <w:tcW w:w="6334" w:type="dxa"/>
            <w:shd w:val="clear" w:color="auto" w:fill="FFFFFF"/>
            <w:vAlign w:val="center"/>
            <w:hideMark/>
          </w:tcPr>
          <w:p w14:paraId="245FEFA9" w14:textId="77777777" w:rsidR="001F1ECF" w:rsidRPr="00C8179D" w:rsidRDefault="001F1ECF" w:rsidP="0077534F">
            <w:pPr>
              <w:spacing w:line="240" w:lineRule="auto"/>
              <w:ind w:left="170"/>
              <w:rPr>
                <w:rFonts w:cs="Times New Roman"/>
                <w:szCs w:val="24"/>
              </w:rPr>
            </w:pPr>
            <w:r w:rsidRPr="00C8179D">
              <w:rPr>
                <w:rFonts w:cs="Times New Roman"/>
                <w:szCs w:val="24"/>
              </w:rPr>
              <w:t>3 months (ERA 1996, s. 111(2))</w:t>
            </w:r>
          </w:p>
        </w:tc>
      </w:tr>
      <w:tr w:rsidR="001F1ECF" w:rsidRPr="00C8179D" w14:paraId="3E587653" w14:textId="77777777" w:rsidTr="001F1ECF">
        <w:trPr>
          <w:trHeight w:val="246"/>
          <w:jc w:val="center"/>
        </w:trPr>
        <w:tc>
          <w:tcPr>
            <w:tcW w:w="686" w:type="dxa"/>
            <w:shd w:val="clear" w:color="auto" w:fill="FFFFFF"/>
          </w:tcPr>
          <w:p w14:paraId="54820553"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1B132077"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Applications for new business tenancies under the</w:t>
            </w:r>
          </w:p>
        </w:tc>
        <w:tc>
          <w:tcPr>
            <w:tcW w:w="6334" w:type="dxa"/>
            <w:shd w:val="clear" w:color="auto" w:fill="FFFFFF"/>
            <w:vAlign w:val="center"/>
            <w:hideMark/>
          </w:tcPr>
          <w:p w14:paraId="47D12A81" w14:textId="77777777" w:rsidR="001F1ECF" w:rsidRPr="00C8179D" w:rsidRDefault="001F1ECF" w:rsidP="0077534F">
            <w:pPr>
              <w:spacing w:line="240" w:lineRule="auto"/>
              <w:ind w:left="170"/>
              <w:rPr>
                <w:rFonts w:cs="Times New Roman"/>
                <w:szCs w:val="24"/>
              </w:rPr>
            </w:pPr>
            <w:r w:rsidRPr="00C8179D">
              <w:rPr>
                <w:rFonts w:cs="Times New Roman"/>
                <w:szCs w:val="24"/>
              </w:rPr>
              <w:t>Not less than 2 months nor more than 4 months (LTA</w:t>
            </w:r>
          </w:p>
        </w:tc>
      </w:tr>
      <w:tr w:rsidR="001F1ECF" w:rsidRPr="00C8179D" w14:paraId="5D7FD666" w14:textId="77777777" w:rsidTr="001F1ECF">
        <w:trPr>
          <w:trHeight w:val="256"/>
          <w:jc w:val="center"/>
        </w:trPr>
        <w:tc>
          <w:tcPr>
            <w:tcW w:w="686" w:type="dxa"/>
            <w:shd w:val="clear" w:color="auto" w:fill="FFFFFF"/>
          </w:tcPr>
          <w:p w14:paraId="62C0115C"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7D66F400"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Landlord and Tenant Act 1954 (LTA 1954)</w:t>
            </w:r>
          </w:p>
        </w:tc>
        <w:tc>
          <w:tcPr>
            <w:tcW w:w="6334" w:type="dxa"/>
            <w:shd w:val="clear" w:color="auto" w:fill="FFFFFF"/>
            <w:vAlign w:val="center"/>
            <w:hideMark/>
          </w:tcPr>
          <w:p w14:paraId="71AB8E52" w14:textId="77777777" w:rsidR="001F1ECF" w:rsidRPr="00C8179D" w:rsidRDefault="001F1ECF" w:rsidP="0077534F">
            <w:pPr>
              <w:spacing w:line="240" w:lineRule="auto"/>
              <w:ind w:left="170"/>
              <w:rPr>
                <w:rFonts w:cs="Times New Roman"/>
                <w:szCs w:val="24"/>
              </w:rPr>
            </w:pPr>
            <w:r w:rsidRPr="00C8179D">
              <w:rPr>
                <w:rFonts w:cs="Times New Roman"/>
                <w:szCs w:val="24"/>
              </w:rPr>
              <w:t>1954, s. 29(3})</w:t>
            </w:r>
          </w:p>
        </w:tc>
      </w:tr>
      <w:tr w:rsidR="001F1ECF" w:rsidRPr="00C8179D" w14:paraId="6A7A0009" w14:textId="77777777" w:rsidTr="001F1ECF">
        <w:trPr>
          <w:trHeight w:val="628"/>
          <w:jc w:val="center"/>
        </w:trPr>
        <w:tc>
          <w:tcPr>
            <w:tcW w:w="686" w:type="dxa"/>
            <w:shd w:val="clear" w:color="auto" w:fill="FFFFFF"/>
          </w:tcPr>
          <w:p w14:paraId="0C50F594" w14:textId="77777777" w:rsidR="001F1ECF" w:rsidRPr="00C8179D" w:rsidRDefault="001F1ECF" w:rsidP="001F1ECF">
            <w:pPr>
              <w:pStyle w:val="ListParagraph"/>
              <w:numPr>
                <w:ilvl w:val="0"/>
                <w:numId w:val="3"/>
              </w:numPr>
              <w:spacing w:line="240" w:lineRule="auto"/>
              <w15:collapsed/>
              <w:rPr>
                <w:rFonts w:eastAsia="Calibri" w:cs="Times New Roman"/>
                <w:b/>
                <w:bCs/>
                <w:szCs w:val="24"/>
              </w:rPr>
            </w:pPr>
          </w:p>
        </w:tc>
        <w:tc>
          <w:tcPr>
            <w:tcW w:w="3447" w:type="dxa"/>
            <w:shd w:val="clear" w:color="auto" w:fill="FFFFFF"/>
            <w:vAlign w:val="center"/>
            <w:hideMark/>
          </w:tcPr>
          <w:p w14:paraId="18E9DF2C" w14:textId="77777777" w:rsidR="001F1ECF" w:rsidRPr="00C8179D" w:rsidRDefault="001F1ECF" w:rsidP="0077534F">
            <w:pPr>
              <w:spacing w:line="240" w:lineRule="auto"/>
              <w:ind w:left="170"/>
              <w15:collapsed/>
              <w:rPr>
                <w:rFonts w:eastAsia="Calibri" w:cs="Times New Roman"/>
                <w:b/>
                <w:bCs/>
                <w:szCs w:val="24"/>
              </w:rPr>
            </w:pPr>
            <w:r w:rsidRPr="00C8179D">
              <w:rPr>
                <w:rFonts w:eastAsia="Calibri" w:cs="Times New Roman"/>
                <w:b/>
                <w:bCs/>
                <w:szCs w:val="24"/>
              </w:rPr>
              <w:t>Actions for an account</w:t>
            </w:r>
          </w:p>
        </w:tc>
        <w:tc>
          <w:tcPr>
            <w:tcW w:w="6334" w:type="dxa"/>
            <w:shd w:val="clear" w:color="auto" w:fill="FFFFFF"/>
            <w:vAlign w:val="center"/>
            <w:hideMark/>
          </w:tcPr>
          <w:p w14:paraId="5F235B7F" w14:textId="77777777" w:rsidR="001F1ECF" w:rsidRPr="00C8179D" w:rsidRDefault="001F1ECF" w:rsidP="0077534F">
            <w:pPr>
              <w:spacing w:line="240" w:lineRule="auto"/>
              <w:ind w:left="170"/>
              <w:rPr>
                <w:rFonts w:cs="Times New Roman"/>
                <w:szCs w:val="24"/>
              </w:rPr>
            </w:pPr>
            <w:r w:rsidRPr="00C8179D">
              <w:rPr>
                <w:rFonts w:cs="Times New Roman"/>
                <w:szCs w:val="24"/>
              </w:rPr>
              <w:t>Period applicable to claim on which account is based (LA 1980, s. 23)</w:t>
            </w:r>
          </w:p>
        </w:tc>
      </w:tr>
      <w:tr w:rsidR="001F1ECF" w:rsidRPr="00C8179D" w14:paraId="2A1BE47F" w14:textId="77777777" w:rsidTr="001F1ECF">
        <w:trPr>
          <w:trHeight w:val="628"/>
          <w:jc w:val="center"/>
        </w:trPr>
        <w:tc>
          <w:tcPr>
            <w:tcW w:w="10467" w:type="dxa"/>
            <w:gridSpan w:val="3"/>
            <w:shd w:val="clear" w:color="auto" w:fill="FFFFFF"/>
            <w:vAlign w:val="center"/>
          </w:tcPr>
          <w:p w14:paraId="65603E7F" w14:textId="77777777" w:rsidR="001F1ECF" w:rsidRPr="00C8179D" w:rsidRDefault="001F1ECF" w:rsidP="0077534F">
            <w:pPr>
              <w:spacing w:line="240" w:lineRule="auto"/>
              <w:jc w:val="center"/>
              <w:rPr>
                <w:rFonts w:eastAsia="Times New Roman" w:cs="Times New Roman"/>
                <w:b/>
                <w:bCs/>
                <w:color w:val="000000"/>
                <w:spacing w:val="10"/>
                <w:szCs w:val="24"/>
                <w:u w:val="single"/>
                <w:lang w:eastAsia="en-GB"/>
              </w:rPr>
            </w:pPr>
          </w:p>
          <w:p w14:paraId="384A7730" w14:textId="77777777" w:rsidR="001F1ECF" w:rsidRPr="00C8179D" w:rsidRDefault="001F1ECF" w:rsidP="0077534F">
            <w:pPr>
              <w:spacing w:line="240" w:lineRule="auto"/>
              <w:jc w:val="center"/>
              <w:rPr>
                <w:rFonts w:eastAsia="Times New Roman" w:cs="Times New Roman"/>
                <w:b/>
                <w:bCs/>
                <w:color w:val="000000"/>
                <w:spacing w:val="10"/>
                <w:szCs w:val="24"/>
                <w:u w:val="single"/>
                <w:lang w:eastAsia="en-GB"/>
              </w:rPr>
            </w:pPr>
            <w:r w:rsidRPr="00C8179D">
              <w:rPr>
                <w:rFonts w:eastAsia="Times New Roman" w:cs="Times New Roman"/>
                <w:b/>
                <w:bCs/>
                <w:color w:val="000000"/>
                <w:spacing w:val="10"/>
                <w:szCs w:val="24"/>
                <w:u w:val="single"/>
                <w:lang w:eastAsia="en-GB"/>
              </w:rPr>
              <w:t>WHICH LIMITATION PERIOD APPLIES TO AN ACTION?</w:t>
            </w:r>
          </w:p>
          <w:p w14:paraId="1BCB393E" w14:textId="77777777" w:rsidR="001F1ECF" w:rsidRPr="00C8179D" w:rsidRDefault="001F1ECF" w:rsidP="0077534F">
            <w:pPr>
              <w:spacing w:line="240" w:lineRule="auto"/>
              <w:jc w:val="center"/>
              <w:rPr>
                <w:rFonts w:eastAsia="Times New Roman" w:cs="Times New Roman"/>
                <w:szCs w:val="24"/>
                <w:u w:val="single"/>
                <w:lang w:eastAsia="en-GB"/>
              </w:rPr>
            </w:pPr>
          </w:p>
          <w:p w14:paraId="5E5FB9F7" w14:textId="77777777" w:rsidR="001F1ECF" w:rsidRPr="00C8179D" w:rsidRDefault="001F1ECF" w:rsidP="001F1ECF">
            <w:pPr>
              <w:numPr>
                <w:ilvl w:val="0"/>
                <w:numId w:val="1"/>
              </w:numPr>
              <w:spacing w:line="240" w:lineRule="auto"/>
              <w:contextualSpacing/>
              <w:rPr>
                <w:rFonts w:eastAsia="Times New Roman" w:cs="Times New Roman"/>
                <w:szCs w:val="24"/>
                <w:lang w:eastAsia="en-GB"/>
              </w:rPr>
            </w:pPr>
            <w:r w:rsidRPr="00C8179D">
              <w:rPr>
                <w:rFonts w:eastAsia="Times New Roman" w:cs="Times New Roman"/>
                <w:color w:val="000000"/>
                <w:szCs w:val="24"/>
                <w:lang w:eastAsia="en-GB"/>
              </w:rPr>
              <w:t>It is sometimes difficult to decide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decide that no limitation period applies. Claims that are a mixture of tort and contract can also cause difficulties.</w:t>
            </w:r>
          </w:p>
          <w:p w14:paraId="196E2CA6" w14:textId="77777777" w:rsidR="001F1ECF" w:rsidRPr="00C8179D" w:rsidRDefault="001F1ECF" w:rsidP="001F1ECF">
            <w:pPr>
              <w:numPr>
                <w:ilvl w:val="0"/>
                <w:numId w:val="1"/>
              </w:numPr>
              <w:spacing w:line="240" w:lineRule="auto"/>
              <w:contextualSpacing/>
              <w:rPr>
                <w:rFonts w:eastAsia="Times New Roman" w:cs="Times New Roman"/>
                <w:szCs w:val="24"/>
                <w:lang w:eastAsia="en-GB"/>
              </w:rPr>
            </w:pPr>
            <w:r w:rsidRPr="00C8179D">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issues raise will need to examine the law applying in detail (see </w:t>
            </w:r>
            <w:r w:rsidRPr="00C8179D">
              <w:rPr>
                <w:rFonts w:eastAsia="Times New Roman" w:cs="Times New Roman"/>
                <w:i/>
                <w:iCs/>
                <w:color w:val="000000"/>
                <w:szCs w:val="24"/>
                <w:lang w:eastAsia="en-GB"/>
              </w:rPr>
              <w:t>Blackstone's Civil Practice</w:t>
            </w:r>
            <w:r w:rsidRPr="00C8179D">
              <w:rPr>
                <w:rFonts w:eastAsia="Times New Roman" w:cs="Times New Roman"/>
                <w:color w:val="000000"/>
                <w:szCs w:val="24"/>
                <w:lang w:eastAsia="en-GB"/>
              </w:rPr>
              <w:t xml:space="preserve"> in this regard).</w:t>
            </w:r>
          </w:p>
          <w:p w14:paraId="32B38FB5" w14:textId="77777777" w:rsidR="001F1ECF" w:rsidRPr="00C8179D" w:rsidRDefault="001F1ECF" w:rsidP="001F1ECF">
            <w:pPr>
              <w:numPr>
                <w:ilvl w:val="0"/>
                <w:numId w:val="1"/>
              </w:numPr>
              <w:spacing w:line="240" w:lineRule="auto"/>
              <w:contextualSpacing/>
              <w:rPr>
                <w:rFonts w:eastAsia="Times New Roman" w:cs="Times New Roman"/>
                <w:color w:val="000000"/>
                <w:szCs w:val="24"/>
                <w:lang w:eastAsia="en-GB"/>
              </w:rPr>
            </w:pPr>
            <w:r w:rsidRPr="00C8179D">
              <w:rPr>
                <w:rFonts w:eastAsia="Times New Roman" w:cs="Times New Roman"/>
                <w:color w:val="000000"/>
                <w:szCs w:val="24"/>
                <w:lang w:eastAsia="en-GB"/>
              </w:rPr>
              <w:t xml:space="preserve">The Court has a discretion to dis-apply the limitation period in personal injury actions under s. 33 of the LA </w:t>
            </w:r>
            <w:r w:rsidRPr="00C8179D">
              <w:rPr>
                <w:rFonts w:eastAsia="Times New Roman" w:cs="Times New Roman"/>
                <w:b/>
                <w:bCs/>
                <w:color w:val="000000"/>
                <w:szCs w:val="24"/>
                <w:lang w:eastAsia="en-GB"/>
              </w:rPr>
              <w:t>1980.</w:t>
            </w:r>
            <w:r w:rsidRPr="00C8179D">
              <w:rPr>
                <w:rFonts w:eastAsia="Times New Roman" w:cs="Times New Roman"/>
                <w:color w:val="000000"/>
                <w:szCs w:val="24"/>
                <w:lang w:eastAsia="en-GB"/>
              </w:rPr>
              <w:t xml:space="preserve"> In these circumstances, the Court will decide whether it would </w:t>
            </w:r>
            <w:r w:rsidRPr="00C8179D">
              <w:rPr>
                <w:rFonts w:eastAsia="Times New Roman" w:cs="Times New Roman"/>
                <w:szCs w:val="24"/>
                <w:lang w:eastAsia="en-GB"/>
              </w:rPr>
              <w:t xml:space="preserve">be equitable and whether it would be prejudicial to the defendant, considering all of the circumstances of the case. There may be good reasons not to rely on a limitation defence, where a fair trial can still take place despite the delay. Two recent cases have considered the application of s. 33 LA—in </w:t>
            </w:r>
            <w:r w:rsidRPr="00C8179D">
              <w:rPr>
                <w:rFonts w:eastAsia="Times New Roman" w:cs="Times New Roman"/>
                <w:i/>
                <w:iCs/>
                <w:szCs w:val="24"/>
                <w:lang w:eastAsia="en-GB"/>
              </w:rPr>
              <w:t>Kara Rayner v Wolfe stans</w:t>
            </w:r>
            <w:r w:rsidRPr="00C8179D">
              <w:rPr>
                <w:rFonts w:eastAsia="Times New Roman" w:cs="Times New Roman"/>
                <w:szCs w:val="24"/>
                <w:lang w:eastAsia="en-GB"/>
              </w:rPr>
              <w:t xml:space="preserve"> (A firm), </w:t>
            </w:r>
            <w:r w:rsidRPr="00C8179D">
              <w:rPr>
                <w:rFonts w:eastAsia="Times New Roman" w:cs="Times New Roman"/>
                <w:b/>
                <w:bCs/>
                <w:i/>
                <w:iCs/>
                <w:szCs w:val="24"/>
                <w:lang w:eastAsia="en-GB"/>
              </w:rPr>
              <w:t>Medway NHS Foundation Trust [2015] EWHC 2957 (QB),</w:t>
            </w:r>
            <w:r w:rsidRPr="00C8179D">
              <w:rPr>
                <w:rFonts w:eastAsia="Times New Roman" w:cs="Times New Roman"/>
                <w:szCs w:val="24"/>
                <w:lang w:eastAsia="en-GB"/>
              </w:rPr>
              <w:t xml:space="preserve"> the Judge allowed the Now Claimant to proceed with her personal injury claim seven years after the statutory period of limitation had expired where the Judge found that the Now Claimant had been prejudiced by delays not of her making. This case is a clear example of the Court helping a 'deserving' Now Claimant. In Collins v Secretary of State for Business Innovation &amp; Skills </w:t>
            </w:r>
            <w:r w:rsidRPr="00C8179D">
              <w:rPr>
                <w:rFonts w:eastAsia="Times New Roman" w:cs="Times New Roman"/>
                <w:b/>
                <w:bCs/>
                <w:szCs w:val="24"/>
                <w:lang w:eastAsia="en-GB"/>
              </w:rPr>
              <w:t xml:space="preserve">[2013] </w:t>
            </w:r>
            <w:r w:rsidRPr="00C8179D">
              <w:rPr>
                <w:rFonts w:eastAsia="Times New Roman" w:cs="Times New Roman"/>
                <w:szCs w:val="24"/>
                <w:lang w:eastAsia="en-GB"/>
              </w:rPr>
              <w:t>the Court would not exercise its discretion, as it decided that the evidence was dodgy and unreliable, and there would be real prejudice to the defendant if the limitation period did not apply.</w:t>
            </w:r>
          </w:p>
          <w:p w14:paraId="2D9CDD75" w14:textId="77777777" w:rsidR="001F1ECF" w:rsidRPr="00C8179D" w:rsidRDefault="001F1ECF" w:rsidP="0077534F">
            <w:pPr>
              <w:spacing w:line="240" w:lineRule="auto"/>
              <w:rPr>
                <w:rFonts w:eastAsia="Times New Roman" w:cs="Times New Roman"/>
                <w:b/>
                <w:bCs/>
                <w:szCs w:val="24"/>
                <w:u w:val="single"/>
                <w:lang w:eastAsia="en-GB"/>
              </w:rPr>
            </w:pPr>
            <w:r w:rsidRPr="00C8179D">
              <w:rPr>
                <w:rFonts w:eastAsia="Times New Roman" w:cs="Times New Roman"/>
                <w:b/>
                <w:bCs/>
                <w:szCs w:val="24"/>
                <w:u w:val="single"/>
                <w:lang w:eastAsia="en-GB"/>
              </w:rPr>
              <w:t>Exceptions in the Limitation Act</w:t>
            </w:r>
          </w:p>
          <w:p w14:paraId="75E8AF03" w14:textId="77777777" w:rsidR="001F1ECF" w:rsidRPr="00C8179D" w:rsidRDefault="001F1ECF" w:rsidP="001F1ECF">
            <w:pPr>
              <w:numPr>
                <w:ilvl w:val="0"/>
                <w:numId w:val="1"/>
              </w:numPr>
              <w:spacing w:line="240" w:lineRule="auto"/>
              <w:contextualSpacing/>
              <w:rPr>
                <w:rFonts w:eastAsia="Times New Roman" w:cs="Times New Roman"/>
                <w:szCs w:val="24"/>
                <w:lang w:eastAsia="en-GB"/>
              </w:rPr>
            </w:pPr>
            <w:r w:rsidRPr="00C8179D">
              <w:rPr>
                <w:rFonts w:eastAsia="Times New Roman" w:cs="Times New Roman"/>
                <w:szCs w:val="24"/>
                <w:lang w:eastAsia="en-GB"/>
              </w:rPr>
              <w:t xml:space="preserve">The Limitation Act </w:t>
            </w:r>
            <w:r w:rsidRPr="00C8179D">
              <w:rPr>
                <w:rFonts w:eastAsia="Times New Roman" w:cs="Times New Roman"/>
                <w:b/>
                <w:bCs/>
                <w:szCs w:val="24"/>
                <w:lang w:eastAsia="en-GB"/>
              </w:rPr>
              <w:t>1980</w:t>
            </w:r>
            <w:r w:rsidRPr="00C8179D">
              <w:rPr>
                <w:rFonts w:eastAsia="Times New Roman" w:cs="Times New Roman"/>
                <w:szCs w:val="24"/>
                <w:lang w:eastAsia="en-GB"/>
              </w:rPr>
              <w:t xml:space="preserve"> does hold exceptions to the rules discussed above. There are two exceptions that may be relevant to claims against the police. Firstly, time does not begin to run against a minor until he or she reaches the age of eighteen. Thus, if the alleged police misconduct occurred during the Now Claimant's childhood the applicable limitation period would not start to run until he or she reached adulthood. </w:t>
            </w:r>
            <w:r w:rsidRPr="00C8179D">
              <w:rPr>
                <w:rFonts w:eastAsia="Times New Roman" w:cs="Times New Roman"/>
                <w:b/>
                <w:bCs/>
                <w:szCs w:val="24"/>
                <w:u w:val="single"/>
                <w:lang w:eastAsia="en-GB"/>
              </w:rPr>
              <w:t>Yes</w:t>
            </w:r>
          </w:p>
          <w:p w14:paraId="7A8EFA4D" w14:textId="77777777" w:rsidR="001F1ECF" w:rsidRPr="00C8179D" w:rsidRDefault="001F1ECF" w:rsidP="001F1ECF">
            <w:pPr>
              <w:numPr>
                <w:ilvl w:val="0"/>
                <w:numId w:val="1"/>
              </w:numPr>
              <w:spacing w:line="240" w:lineRule="auto"/>
              <w:contextualSpacing/>
              <w:rPr>
                <w:rFonts w:eastAsia="Times New Roman" w:cs="Times New Roman"/>
                <w:szCs w:val="24"/>
                <w:lang w:eastAsia="en-GB"/>
              </w:rPr>
            </w:pPr>
            <w:r w:rsidRPr="00C8179D">
              <w:rPr>
                <w:rFonts w:eastAsia="Times New Roman" w:cs="Times New Roman"/>
                <w:szCs w:val="24"/>
                <w:lang w:eastAsia="en-GB"/>
              </w:rPr>
              <w:t xml:space="preserve">Secondly, the running of the proper limitation period faces delays where any fact relevant to the Now Claimant's right of action is “concealed deliberately from him or her by the defendant.” In these circumstances the period runs from the time when the Now Claimant discovers the concealment or from the point when he or she could have discovered it by using reasonable diligence. A deliberate breach of duty in circumstances where it is unlikely discovered for time amounts to deliberate concealment for these purposes. Deliberate concealment therefore covers intentional wrongdoing that, by its nature, is unlikely to be discovered for a considerable period of time, if the wrongdoer does nothing to draw it to the Now Claimant's attention.71 Accordingly, this concept could cover police misconduct that was not readily apparent to the Now Claimant at the time but emerges subsequently, for example if; officers pressurised or induced a third party falsely to incriminate the Now Claimant. In this instance the Now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So, it would be difficult for the Now Claimant to obtain an advantage from this statutory provision in a false imprisonment claim, as the cause of action is complete when the detention occurs and any subsequently discovered facts would bolster an existing claim, rather than create a fresh cause of </w:t>
            </w:r>
            <w:r w:rsidRPr="00C8179D">
              <w:rPr>
                <w:rFonts w:eastAsia="Times New Roman" w:cs="Times New Roman"/>
                <w:szCs w:val="24"/>
                <w:lang w:eastAsia="en-GB"/>
              </w:rPr>
              <w:lastRenderedPageBreak/>
              <w:t>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5A2551AF" w14:textId="77777777" w:rsidR="001F1ECF" w:rsidRPr="00C8179D" w:rsidRDefault="001F1ECF" w:rsidP="0077534F">
            <w:pPr>
              <w:spacing w:line="240" w:lineRule="auto"/>
              <w:rPr>
                <w:rFonts w:eastAsia="Times New Roman" w:cs="Times New Roman"/>
                <w:b/>
                <w:bCs/>
                <w:szCs w:val="24"/>
                <w:u w:val="single"/>
                <w:lang w:eastAsia="en-GB"/>
              </w:rPr>
            </w:pPr>
            <w:r w:rsidRPr="00C8179D">
              <w:rPr>
                <w:rFonts w:eastAsia="Times New Roman" w:cs="Times New Roman"/>
                <w:b/>
                <w:bCs/>
                <w:szCs w:val="24"/>
                <w:u w:val="single"/>
                <w:lang w:eastAsia="en-GB"/>
              </w:rPr>
              <w:t>Human Rights Act claims</w:t>
            </w:r>
          </w:p>
          <w:p w14:paraId="64BB8E33" w14:textId="77777777" w:rsidR="001F1ECF" w:rsidRPr="00C8179D" w:rsidRDefault="001F1ECF" w:rsidP="001F1ECF">
            <w:pPr>
              <w:numPr>
                <w:ilvl w:val="0"/>
                <w:numId w:val="1"/>
              </w:numPr>
              <w:spacing w:line="240" w:lineRule="auto"/>
              <w:contextualSpacing/>
              <w:rPr>
                <w:rFonts w:eastAsia="Times New Roman" w:cs="Times New Roman"/>
                <w:szCs w:val="24"/>
                <w:lang w:eastAsia="en-GB"/>
              </w:rPr>
            </w:pPr>
            <w:r w:rsidRPr="00C8179D">
              <w:rPr>
                <w:rFonts w:eastAsia="Times New Roman" w:cs="Times New Roman"/>
                <w:szCs w:val="24"/>
                <w:lang w:eastAsia="en-GB"/>
              </w:rPr>
              <w:t xml:space="preserve">The limitation period for bringing proceedings against a public authority under the Human Rights Act </w:t>
            </w:r>
            <w:r w:rsidRPr="00C8179D">
              <w:rPr>
                <w:rFonts w:eastAsia="Times New Roman" w:cs="Times New Roman"/>
                <w:b/>
                <w:bCs/>
                <w:szCs w:val="24"/>
                <w:lang w:eastAsia="en-GB"/>
              </w:rPr>
              <w:t>1998</w:t>
            </w:r>
            <w:r w:rsidRPr="00C8179D">
              <w:rPr>
                <w:rFonts w:eastAsia="Times New Roman" w:cs="Times New Roman"/>
                <w:szCs w:val="24"/>
                <w:lang w:eastAsia="en-GB"/>
              </w:rPr>
              <w:t xml:space="preserve"> is short. Proceedings brought must be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w:t>
            </w:r>
            <w:r w:rsidRPr="00C8179D">
              <w:rPr>
                <w:rFonts w:eastAsia="Times New Roman" w:cs="Times New Roman"/>
                <w:b/>
                <w:bCs/>
                <w:szCs w:val="24"/>
                <w:lang w:eastAsia="en-GB"/>
              </w:rPr>
              <w:t>1998</w:t>
            </w:r>
            <w:r w:rsidRPr="00C8179D">
              <w:rPr>
                <w:rFonts w:eastAsia="Times New Roman" w:cs="Times New Roman"/>
                <w:szCs w:val="24"/>
                <w:lang w:eastAsia="en-GB"/>
              </w:rPr>
              <w:t xml:space="preserve">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w:t>
            </w:r>
            <w:r w:rsidRPr="00C8179D">
              <w:rPr>
                <w:rFonts w:eastAsia="Times New Roman" w:cs="Times New Roman"/>
                <w:b/>
                <w:bCs/>
                <w:szCs w:val="24"/>
                <w:lang w:eastAsia="en-GB"/>
              </w:rPr>
              <w:t>1998.S1</w:t>
            </w:r>
          </w:p>
          <w:p w14:paraId="0A4B1C63" w14:textId="77777777" w:rsidR="001F1ECF" w:rsidRPr="00C8179D" w:rsidRDefault="001F1ECF" w:rsidP="0077534F">
            <w:pPr>
              <w:spacing w:line="240" w:lineRule="auto"/>
              <w:rPr>
                <w:rFonts w:eastAsia="Times New Roman" w:cs="Times New Roman"/>
                <w:b/>
                <w:bCs/>
                <w:szCs w:val="24"/>
                <w:u w:val="single"/>
                <w:lang w:eastAsia="en-GB"/>
              </w:rPr>
            </w:pPr>
            <w:r w:rsidRPr="00C8179D">
              <w:rPr>
                <w:rFonts w:eastAsia="Times New Roman" w:cs="Times New Roman"/>
                <w:b/>
                <w:bCs/>
                <w:szCs w:val="24"/>
                <w:u w:val="single"/>
                <w:lang w:eastAsia="en-GB"/>
              </w:rPr>
              <w:t>Discrimination claims</w:t>
            </w:r>
          </w:p>
          <w:p w14:paraId="7E8CBDFB" w14:textId="77777777" w:rsidR="001F1ECF" w:rsidRPr="00C8179D" w:rsidRDefault="001F1ECF" w:rsidP="001F1ECF">
            <w:pPr>
              <w:numPr>
                <w:ilvl w:val="0"/>
                <w:numId w:val="1"/>
              </w:numPr>
              <w:spacing w:line="240" w:lineRule="auto"/>
              <w:contextualSpacing/>
              <w:rPr>
                <w:rFonts w:eastAsia="Times New Roman" w:cs="Times New Roman"/>
                <w:szCs w:val="24"/>
                <w:lang w:eastAsia="en-GB"/>
              </w:rPr>
            </w:pPr>
            <w:r w:rsidRPr="00C8179D">
              <w:rPr>
                <w:rFonts w:eastAsia="Times New Roman" w:cs="Times New Roman"/>
                <w:szCs w:val="24"/>
                <w:lang w:eastAsia="en-GB"/>
              </w:rPr>
              <w:t xml:space="preserve">The time limit for bringing proceedings under the Race Relations Act </w:t>
            </w:r>
            <w:r w:rsidRPr="00C8179D">
              <w:rPr>
                <w:rFonts w:eastAsia="Times New Roman" w:cs="Times New Roman"/>
                <w:b/>
                <w:bCs/>
                <w:szCs w:val="24"/>
                <w:lang w:eastAsia="en-GB"/>
              </w:rPr>
              <w:t>1976</w:t>
            </w:r>
            <w:r w:rsidRPr="00C8179D">
              <w:rPr>
                <w:rFonts w:eastAsia="Times New Roman" w:cs="Times New Roman"/>
                <w:szCs w:val="24"/>
                <w:lang w:eastAsia="en-GB"/>
              </w:rPr>
              <w:t xml:space="preserve"> is within six months less one day from the date of the act complained of “It is possible to obtain a two-month extension when a claim to the Commission exists for Racial Equality for help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786132FA" w14:textId="77777777" w:rsidR="001F1ECF" w:rsidRPr="00C8179D" w:rsidRDefault="001F1ECF" w:rsidP="001F1ECF">
            <w:pPr>
              <w:numPr>
                <w:ilvl w:val="0"/>
                <w:numId w:val="1"/>
              </w:numPr>
              <w:spacing w:line="240" w:lineRule="auto"/>
              <w:contextualSpacing/>
              <w:rPr>
                <w:rFonts w:eastAsia="Times New Roman" w:cs="Times New Roman"/>
                <w:szCs w:val="24"/>
                <w:lang w:eastAsia="en-GB"/>
              </w:rPr>
            </w:pPr>
            <w:r w:rsidRPr="00C8179D">
              <w:rPr>
                <w:rFonts w:eastAsia="Times New Roman" w:cs="Times New Roman"/>
                <w:szCs w:val="24"/>
                <w:lang w:eastAsia="en-GB"/>
              </w:rPr>
              <w:t xml:space="preserve">There may be instances where the same facts give rise to different limitation periods. For example, if a person is stopped and searched in a manner which gives rise to a potential claim under the Race Relations Act </w:t>
            </w:r>
            <w:r w:rsidRPr="00C8179D">
              <w:rPr>
                <w:rFonts w:eastAsia="Times New Roman" w:cs="Times New Roman"/>
                <w:b/>
                <w:bCs/>
                <w:szCs w:val="24"/>
                <w:lang w:eastAsia="en-GB"/>
              </w:rPr>
              <w:t xml:space="preserve">1976 </w:t>
            </w:r>
            <w:r w:rsidRPr="00C8179D">
              <w:rPr>
                <w:rFonts w:eastAsia="Times New Roman" w:cs="Times New Roman"/>
                <w:szCs w:val="24"/>
                <w:lang w:eastAsia="en-GB"/>
              </w:rPr>
              <w:t>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Now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43ED9722" w14:textId="77777777" w:rsidR="001F1ECF" w:rsidRPr="00C8179D" w:rsidRDefault="001F1ECF" w:rsidP="0077534F">
            <w:pPr>
              <w:spacing w:line="240" w:lineRule="auto"/>
              <w:rPr>
                <w:rFonts w:eastAsia="Calibri" w:cs="Times New Roman"/>
                <w:b/>
                <w:bCs/>
                <w:szCs w:val="24"/>
                <w:u w:val="single"/>
                <w:lang w:eastAsia="en-GB"/>
              </w:rPr>
            </w:pPr>
            <w:r w:rsidRPr="00C8179D">
              <w:rPr>
                <w:rFonts w:eastAsia="Calibri" w:cs="Times New Roman"/>
                <w:b/>
                <w:bCs/>
                <w:szCs w:val="24"/>
                <w:u w:val="single"/>
                <w:lang w:eastAsia="en-GB"/>
              </w:rPr>
              <w:t>Persons under disabilities</w:t>
            </w:r>
          </w:p>
          <w:p w14:paraId="0CCBC600" w14:textId="77777777" w:rsidR="001F1ECF" w:rsidRPr="00C8179D" w:rsidRDefault="001F1ECF" w:rsidP="001F1ECF">
            <w:pPr>
              <w:numPr>
                <w:ilvl w:val="0"/>
                <w:numId w:val="1"/>
              </w:numPr>
              <w:spacing w:line="240" w:lineRule="auto"/>
              <w:contextualSpacing/>
              <w:rPr>
                <w:rFonts w:eastAsia="Calibri" w:cs="Times New Roman"/>
                <w:szCs w:val="24"/>
                <w:lang w:eastAsia="en-GB"/>
              </w:rPr>
            </w:pPr>
            <w:r w:rsidRPr="00C8179D">
              <w:rPr>
                <w:rFonts w:eastAsia="Calibri" w:cs="Times New Roman"/>
                <w:szCs w:val="24"/>
                <w:lang w:eastAsia="en-GB"/>
              </w:rPr>
              <w:t>Where the Now Claimant is a person under a disability, being either a child or a protected party ' (see paragraphs 7.3.1 and 7.3.2), the limitation period does not start to run until:</w:t>
            </w:r>
          </w:p>
          <w:p w14:paraId="0077AEE4" w14:textId="77777777" w:rsidR="001F1ECF" w:rsidRPr="00C8179D" w:rsidRDefault="001F1ECF" w:rsidP="0077534F">
            <w:pPr>
              <w:spacing w:line="240" w:lineRule="auto"/>
              <w:ind w:left="360"/>
              <w:contextualSpacing/>
              <w:rPr>
                <w:rFonts w:eastAsia="Calibri" w:cs="Times New Roman"/>
                <w:szCs w:val="24"/>
                <w:lang w:eastAsia="en-GB"/>
              </w:rPr>
            </w:pPr>
            <w:r w:rsidRPr="00C8179D">
              <w:rPr>
                <w:rFonts w:eastAsia="Calibri" w:cs="Times New Roman"/>
                <w:szCs w:val="24"/>
                <w:lang w:eastAsia="en-GB"/>
              </w:rPr>
              <w:t>--</w:t>
            </w:r>
          </w:p>
          <w:p w14:paraId="0A7D1FD9" w14:textId="77777777" w:rsidR="001F1ECF" w:rsidRPr="00C8179D" w:rsidRDefault="001F1ECF" w:rsidP="001F1ECF">
            <w:pPr>
              <w:numPr>
                <w:ilvl w:val="0"/>
                <w:numId w:val="2"/>
              </w:numPr>
              <w:spacing w:line="240" w:lineRule="auto"/>
              <w:contextualSpacing/>
              <w:rPr>
                <w:rFonts w:eastAsia="Calibri" w:cs="Times New Roman"/>
                <w:szCs w:val="24"/>
              </w:rPr>
            </w:pPr>
            <w:r w:rsidRPr="00C8179D">
              <w:rPr>
                <w:rFonts w:eastAsia="Calibri" w:cs="Times New Roman"/>
                <w:szCs w:val="24"/>
              </w:rPr>
              <w:t>if a child, from the date of the child's 18th birthday.</w:t>
            </w:r>
          </w:p>
          <w:p w14:paraId="7D3B7217" w14:textId="77777777" w:rsidR="001F1ECF" w:rsidRPr="00C8179D" w:rsidRDefault="001F1ECF" w:rsidP="001F1ECF">
            <w:pPr>
              <w:numPr>
                <w:ilvl w:val="0"/>
                <w:numId w:val="2"/>
              </w:numPr>
              <w:spacing w:line="240" w:lineRule="auto"/>
              <w:contextualSpacing/>
              <w:rPr>
                <w:rFonts w:eastAsia="Calibri" w:cs="Times New Roman"/>
                <w:szCs w:val="24"/>
                <w:lang w:eastAsia="en-GB"/>
              </w:rPr>
            </w:pPr>
            <w:r w:rsidRPr="00C8179D">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C8179D">
              <w:rPr>
                <w:rFonts w:eastAsia="Calibri" w:cs="Times New Roman"/>
                <w:szCs w:val="24"/>
                <w:lang w:eastAsia="en-GB"/>
              </w:rPr>
              <w:t xml:space="preserve"> was of sound mind at the time of the cause of action, the limitation period will continue to run.</w:t>
            </w:r>
          </w:p>
          <w:p w14:paraId="6C94D2C7" w14:textId="77777777" w:rsidR="001F1ECF" w:rsidRPr="00C8179D" w:rsidRDefault="001F1ECF" w:rsidP="0077534F">
            <w:pPr>
              <w:spacing w:line="240" w:lineRule="auto"/>
              <w:rPr>
                <w:rFonts w:eastAsia="Calibri" w:cs="Times New Roman"/>
                <w:b/>
                <w:bCs/>
                <w:szCs w:val="24"/>
                <w:u w:val="single"/>
                <w:lang w:eastAsia="en-GB"/>
              </w:rPr>
            </w:pPr>
            <w:r w:rsidRPr="00C8179D">
              <w:rPr>
                <w:rFonts w:eastAsia="Calibri" w:cs="Times New Roman"/>
                <w:b/>
                <w:bCs/>
                <w:szCs w:val="24"/>
                <w:u w:val="single"/>
                <w:lang w:eastAsia="en-GB"/>
              </w:rPr>
              <w:t>Fraud, concealment, and mistake</w:t>
            </w:r>
          </w:p>
          <w:p w14:paraId="24670C9D" w14:textId="77777777" w:rsidR="001F1ECF" w:rsidRPr="00C8179D" w:rsidRDefault="001F1ECF" w:rsidP="001F1ECF">
            <w:pPr>
              <w:numPr>
                <w:ilvl w:val="0"/>
                <w:numId w:val="1"/>
              </w:numPr>
              <w:spacing w:line="240" w:lineRule="auto"/>
              <w:contextualSpacing/>
              <w:rPr>
                <w:rFonts w:eastAsia="Calibri" w:cs="Times New Roman"/>
                <w:szCs w:val="24"/>
                <w:lang w:eastAsia="en-GB"/>
              </w:rPr>
            </w:pPr>
            <w:r w:rsidRPr="00C8179D">
              <w:rPr>
                <w:rFonts w:eastAsia="Calibri" w:cs="Times New Roman"/>
                <w:szCs w:val="24"/>
                <w:lang w:eastAsia="en-GB"/>
              </w:rPr>
              <w:t>In claims based on fraud, the limitation period does not begin to run until the Now Claimant discovers (or could, with reasonable diligence, have discovered) the fraud. The limitation period will also not run whilst the defendant deliberately conceals a relevant fact. Where the claim is for relief from the consequences of a mistake, time does not run until the claimant discovered the mistake or could have discovered it with reasonable diligence.</w:t>
            </w:r>
          </w:p>
          <w:p w14:paraId="205BA14E" w14:textId="77777777" w:rsidR="001F1ECF" w:rsidRPr="00C8179D" w:rsidRDefault="001F1ECF" w:rsidP="0077534F">
            <w:pPr>
              <w:spacing w:line="240" w:lineRule="auto"/>
              <w:rPr>
                <w:rFonts w:eastAsia="Calibri" w:cs="Times New Roman"/>
                <w:b/>
                <w:bCs/>
                <w:szCs w:val="24"/>
                <w:u w:val="single"/>
                <w:lang w:eastAsia="en-GB"/>
              </w:rPr>
            </w:pPr>
            <w:r w:rsidRPr="00C8179D">
              <w:rPr>
                <w:rFonts w:eastAsia="Calibri" w:cs="Times New Roman"/>
                <w:b/>
                <w:bCs/>
                <w:szCs w:val="24"/>
                <w:u w:val="single"/>
                <w:lang w:eastAsia="en-GB"/>
              </w:rPr>
              <w:t>Latent damage</w:t>
            </w:r>
          </w:p>
          <w:p w14:paraId="7647DEA3" w14:textId="77777777" w:rsidR="001F1ECF" w:rsidRPr="00C8179D" w:rsidRDefault="001F1ECF" w:rsidP="001F1ECF">
            <w:pPr>
              <w:numPr>
                <w:ilvl w:val="0"/>
                <w:numId w:val="1"/>
              </w:numPr>
              <w:spacing w:line="240" w:lineRule="auto"/>
              <w:contextualSpacing/>
              <w:rPr>
                <w:rFonts w:eastAsia="Calibri" w:cs="Times New Roman"/>
                <w:szCs w:val="24"/>
                <w:lang w:eastAsia="en-GB"/>
              </w:rPr>
            </w:pPr>
            <w:r w:rsidRPr="00C8179D">
              <w:rPr>
                <w:rFonts w:eastAsia="Calibri" w:cs="Times New Roman"/>
                <w:szCs w:val="24"/>
                <w:lang w:eastAsia="en-GB"/>
              </w:rPr>
              <w:t>The Latent Damage Act</w:t>
            </w:r>
            <w:r w:rsidRPr="00C8179D">
              <w:rPr>
                <w:rFonts w:eastAsia="Calibri" w:cs="Times New Roman"/>
                <w:b/>
                <w:bCs/>
                <w:szCs w:val="24"/>
                <w:lang w:eastAsia="en-GB"/>
              </w:rPr>
              <w:t xml:space="preserve"> 1986</w:t>
            </w:r>
            <w:r w:rsidRPr="00C8179D">
              <w:rPr>
                <w:rFonts w:eastAsia="Calibri" w:cs="Times New Roman"/>
                <w:szCs w:val="24"/>
                <w:lang w:eastAsia="en-GB"/>
              </w:rPr>
              <w:t xml:space="preserve"> created greater fairness in situations in which the limitation period may expire before a party is even aware that a claim exists. In claims in tort (other than for personal injuries), the Latent Damage Act </w:t>
            </w:r>
            <w:r w:rsidRPr="00C8179D">
              <w:rPr>
                <w:rFonts w:eastAsia="Calibri" w:cs="Times New Roman"/>
                <w:b/>
                <w:bCs/>
                <w:szCs w:val="24"/>
                <w:lang w:eastAsia="en-GB"/>
              </w:rPr>
              <w:t xml:space="preserve">1986 </w:t>
            </w:r>
            <w:r w:rsidRPr="00C8179D">
              <w:rPr>
                <w:rFonts w:eastAsia="Calibri" w:cs="Times New Roman"/>
                <w:szCs w:val="24"/>
                <w:lang w:eastAsia="en-GB"/>
              </w:rPr>
              <w:t xml:space="preserve">provides new sections (inserted into the LA </w:t>
            </w:r>
            <w:r w:rsidRPr="00C8179D">
              <w:rPr>
                <w:rFonts w:eastAsia="Calibri" w:cs="Times New Roman"/>
                <w:b/>
                <w:bCs/>
                <w:szCs w:val="24"/>
                <w:lang w:eastAsia="en-GB"/>
              </w:rPr>
              <w:t>1980, ss. 14A and 14B)</w:t>
            </w:r>
            <w:r w:rsidRPr="00C8179D">
              <w:rPr>
                <w:rFonts w:eastAsia="Calibri" w:cs="Times New Roman"/>
                <w:szCs w:val="24"/>
                <w:lang w:eastAsia="en-GB"/>
              </w:rPr>
              <w:t xml:space="preserve">. The provisions added to the LA </w:t>
            </w:r>
            <w:r w:rsidRPr="00C8179D">
              <w:rPr>
                <w:rFonts w:eastAsia="Calibri" w:cs="Times New Roman"/>
                <w:b/>
                <w:bCs/>
                <w:szCs w:val="24"/>
                <w:lang w:eastAsia="en-GB"/>
              </w:rPr>
              <w:t xml:space="preserve">1980 </w:t>
            </w:r>
            <w:r w:rsidRPr="00C8179D">
              <w:rPr>
                <w:rFonts w:eastAsia="Calibri" w:cs="Times New Roman"/>
                <w:szCs w:val="24"/>
                <w:lang w:eastAsia="en-GB"/>
              </w:rPr>
              <w:t xml:space="preserve">by the </w:t>
            </w:r>
            <w:r w:rsidRPr="00C8179D">
              <w:rPr>
                <w:rFonts w:eastAsia="Calibri" w:cs="Times New Roman"/>
                <w:b/>
                <w:bCs/>
                <w:szCs w:val="24"/>
                <w:lang w:eastAsia="en-GB"/>
              </w:rPr>
              <w:t xml:space="preserve">1986 </w:t>
            </w:r>
            <w:r w:rsidRPr="00C8179D">
              <w:rPr>
                <w:rFonts w:eastAsia="Calibri" w:cs="Times New Roman"/>
                <w:szCs w:val="24"/>
                <w:lang w:eastAsia="en-GB"/>
              </w:rPr>
              <w:t xml:space="preserve">Act provide two periods of limitation: one that is six years from accrual (the usual period for claims in tort), and another that is three years from the 'starting date'—that is, the earliest date at which the Now Claimant knew that the relevant </w:t>
            </w:r>
            <w:r w:rsidRPr="00C8179D">
              <w:rPr>
                <w:rFonts w:eastAsia="Calibri" w:cs="Times New Roman"/>
                <w:szCs w:val="24"/>
                <w:lang w:eastAsia="en-GB"/>
              </w:rPr>
              <w:lastRenderedPageBreak/>
              <w:t>damage was sufficiently serious to justify proceedings, enabling a claim to subsist, and when it could be attributed to the act of negligence and the identity of the defendant.</w:t>
            </w:r>
          </w:p>
          <w:p w14:paraId="3E3500FC" w14:textId="77777777" w:rsidR="001F1ECF" w:rsidRPr="00C8179D" w:rsidRDefault="001F1ECF" w:rsidP="001F1ECF">
            <w:pPr>
              <w:numPr>
                <w:ilvl w:val="0"/>
                <w:numId w:val="1"/>
              </w:numPr>
              <w:spacing w:line="240" w:lineRule="auto"/>
              <w:contextualSpacing/>
              <w:rPr>
                <w:rFonts w:eastAsia="Calibri" w:cs="Times New Roman"/>
                <w:szCs w:val="24"/>
                <w:lang w:eastAsia="en-GB"/>
              </w:rPr>
            </w:pPr>
            <w:r w:rsidRPr="00C8179D">
              <w:rPr>
                <w:rFonts w:eastAsia="Calibri" w:cs="Times New Roman"/>
                <w:szCs w:val="24"/>
                <w:lang w:eastAsia="en-GB"/>
              </w:rPr>
              <w:t xml:space="preserve">To prevent defendants being potentially 'at risk' of a claim indefinitely, s. 14B of the LA </w:t>
            </w:r>
            <w:r w:rsidRPr="00C8179D">
              <w:rPr>
                <w:rFonts w:eastAsia="Calibri" w:cs="Times New Roman"/>
                <w:b/>
                <w:bCs/>
                <w:szCs w:val="24"/>
                <w:lang w:eastAsia="en-GB"/>
              </w:rPr>
              <w:t>1980</w:t>
            </w:r>
            <w:r w:rsidRPr="00C8179D">
              <w:rPr>
                <w:rFonts w:eastAsia="Calibri" w:cs="Times New Roman"/>
                <w:szCs w:val="24"/>
                <w:lang w:eastAsia="en-GB"/>
              </w:rPr>
              <w:t xml:space="preserve"> provides a long-stop period for bringing proceedings of 15 years from the act or omission alleged to constitute the negligence causing the Now Claimant's damage.</w:t>
            </w:r>
          </w:p>
          <w:p w14:paraId="1273A16F" w14:textId="77777777" w:rsidR="001F1ECF" w:rsidRPr="00C8179D" w:rsidRDefault="001F1ECF" w:rsidP="0077534F">
            <w:pPr>
              <w:spacing w:line="240" w:lineRule="auto"/>
              <w15:collapsed/>
              <w:rPr>
                <w:rFonts w:eastAsia="Calibri" w:cs="Times New Roman"/>
                <w:b/>
                <w:bCs/>
                <w:szCs w:val="24"/>
              </w:rPr>
            </w:pPr>
          </w:p>
          <w:p w14:paraId="7904E9A6" w14:textId="77777777" w:rsidR="001F1ECF" w:rsidRPr="00C8179D" w:rsidRDefault="001F1ECF" w:rsidP="0077534F">
            <w:pPr>
              <w:spacing w:line="240" w:lineRule="auto"/>
              <w:rPr>
                <w:rFonts w:eastAsia="Calibri" w:cs="Times New Roman"/>
                <w:b/>
                <w:bCs/>
                <w:szCs w:val="24"/>
                <w:u w:val="single"/>
                <w:lang w:eastAsia="en-GB"/>
              </w:rPr>
            </w:pPr>
            <w:r w:rsidRPr="00C8179D">
              <w:rPr>
                <w:rFonts w:eastAsia="Calibri" w:cs="Times New Roman"/>
                <w:b/>
                <w:bCs/>
                <w:szCs w:val="24"/>
                <w:u w:val="single"/>
                <w:lang w:eastAsia="en-GB"/>
              </w:rPr>
              <w:t>The discretionary extension of limitation periods</w:t>
            </w:r>
          </w:p>
          <w:p w14:paraId="4C848CB3" w14:textId="77777777" w:rsidR="001F1ECF" w:rsidRPr="00C8179D" w:rsidRDefault="001F1ECF" w:rsidP="001F1ECF">
            <w:pPr>
              <w:numPr>
                <w:ilvl w:val="0"/>
                <w:numId w:val="4"/>
              </w:numPr>
              <w:spacing w:line="240" w:lineRule="auto"/>
              <w:contextualSpacing/>
              <w:rPr>
                <w:rFonts w:eastAsia="Calibri" w:cs="Times New Roman"/>
                <w:szCs w:val="24"/>
                <w:lang w:eastAsia="en-GB"/>
              </w:rPr>
            </w:pPr>
            <w:r w:rsidRPr="00C8179D">
              <w:rPr>
                <w:rFonts w:eastAsia="Calibri" w:cs="Times New Roman"/>
                <w:szCs w:val="24"/>
                <w:lang w:eastAsia="en-GB"/>
              </w:rPr>
              <w:t>Discretionary provisions to extend the statutory limitation period apply in:</w:t>
            </w:r>
          </w:p>
          <w:p w14:paraId="14169190" w14:textId="77777777" w:rsidR="001F1ECF" w:rsidRPr="00C8179D" w:rsidRDefault="001F1ECF" w:rsidP="001F1ECF">
            <w:pPr>
              <w:numPr>
                <w:ilvl w:val="0"/>
                <w:numId w:val="4"/>
              </w:numPr>
              <w:spacing w:line="240" w:lineRule="auto"/>
              <w:rPr>
                <w:rFonts w:eastAsia="Calibri" w:cs="Times New Roman"/>
                <w:szCs w:val="24"/>
                <w:lang w:eastAsia="en-GB"/>
              </w:rPr>
            </w:pPr>
            <w:r w:rsidRPr="00C8179D">
              <w:rPr>
                <w:rFonts w:eastAsia="Calibri" w:cs="Times New Roman"/>
                <w:szCs w:val="24"/>
                <w:lang w:eastAsia="en-GB"/>
              </w:rPr>
              <w:t>judicial review proceedings “the three-month time limit can be extended if good reasons are shown.”</w:t>
            </w:r>
          </w:p>
          <w:p w14:paraId="40DAEF52" w14:textId="77777777" w:rsidR="001F1ECF" w:rsidRPr="00C8179D" w:rsidRDefault="001F1ECF" w:rsidP="0077534F">
            <w:pPr>
              <w:spacing w:line="240" w:lineRule="auto"/>
              <w15:collapsed/>
              <w:rPr>
                <w:rFonts w:eastAsia="Calibri" w:cs="Times New Roman"/>
                <w:b/>
                <w:bCs/>
                <w:szCs w:val="24"/>
              </w:rPr>
            </w:pPr>
          </w:p>
        </w:tc>
      </w:tr>
    </w:tbl>
    <w:p w14:paraId="0B19AF76" w14:textId="77777777" w:rsidR="001F1ECF" w:rsidRDefault="001F1ECF"/>
    <w:sectPr w:rsidR="001F1ECF" w:rsidSect="001F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533"/>
    <w:multiLevelType w:val="hybridMultilevel"/>
    <w:tmpl w:val="9864AF88"/>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A070C32"/>
    <w:multiLevelType w:val="hybridMultilevel"/>
    <w:tmpl w:val="1E527B28"/>
    <w:styleLink w:val="11111115"/>
    <w:lvl w:ilvl="0" w:tplc="2C3C767A">
      <w:start w:val="1"/>
      <w:numFmt w:val="decimal"/>
      <w:lvlText w:val="%1."/>
      <w:lvlJc w:val="left"/>
      <w:pPr>
        <w:ind w:left="644" w:hanging="360"/>
      </w:pPr>
      <w:rPr>
        <w:b/>
        <w:bCs/>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4269335">
    <w:abstractNumId w:val="1"/>
  </w:num>
  <w:num w:numId="2" w16cid:durableId="1486581319">
    <w:abstractNumId w:val="2"/>
  </w:num>
  <w:num w:numId="3" w16cid:durableId="1996690154">
    <w:abstractNumId w:val="3"/>
  </w:num>
  <w:num w:numId="4" w16cid:durableId="125058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CF"/>
    <w:rsid w:val="001F1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BDD1"/>
  <w15:chartTrackingRefBased/>
  <w15:docId w15:val="{2CC6703C-41BA-4803-9458-49701FE0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CF"/>
    <w:pPr>
      <w:spacing w:after="0" w:line="252"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ECF"/>
    <w:pPr>
      <w:ind w:left="720"/>
      <w:contextualSpacing/>
    </w:pPr>
  </w:style>
  <w:style w:type="numbering" w:customStyle="1" w:styleId="11111115">
    <w:name w:val="1 / 1.1 / 1.1.115"/>
    <w:rsid w:val="001F1ECF"/>
    <w:pPr>
      <w:numPr>
        <w:numId w:val="3"/>
      </w:numPr>
    </w:pPr>
  </w:style>
  <w:style w:type="numbering" w:customStyle="1" w:styleId="1111111621">
    <w:name w:val="1 / 1.1 / 1.1.11621"/>
    <w:rsid w:val="001F1EC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1751</Words>
  <Characters>9987</Characters>
  <Application>Microsoft Office Word</Application>
  <DocSecurity>0</DocSecurity>
  <Lines>83</Lines>
  <Paragraphs>23</Paragraphs>
  <ScaleCrop>false</ScaleCrop>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cp:revision>
  <dcterms:created xsi:type="dcterms:W3CDTF">2023-09-15T07:49:00Z</dcterms:created>
  <dcterms:modified xsi:type="dcterms:W3CDTF">2023-09-15T07:51:00Z</dcterms:modified>
</cp:coreProperties>
</file>